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C80B" w14:textId="77777777" w:rsidR="00A1180D" w:rsidRDefault="00A1180D">
      <w:pPr>
        <w:pStyle w:val="BodyText"/>
        <w:rPr>
          <w:sz w:val="20"/>
        </w:rPr>
      </w:pPr>
    </w:p>
    <w:p w14:paraId="674921D7" w14:textId="77777777" w:rsidR="00A1180D" w:rsidRDefault="00A1180D">
      <w:pPr>
        <w:pStyle w:val="BodyText"/>
        <w:rPr>
          <w:sz w:val="20"/>
        </w:rPr>
      </w:pPr>
    </w:p>
    <w:p w14:paraId="7BA418C2" w14:textId="77777777" w:rsidR="00A1180D" w:rsidRDefault="00A1180D">
      <w:pPr>
        <w:pStyle w:val="BodyText"/>
        <w:spacing w:before="4"/>
        <w:rPr>
          <w:sz w:val="16"/>
        </w:rPr>
      </w:pPr>
    </w:p>
    <w:p w14:paraId="3391B323" w14:textId="250EC5FD" w:rsidR="00325BA3" w:rsidRPr="00712AF8" w:rsidRDefault="00CA72FB" w:rsidP="00712AF8">
      <w:pPr>
        <w:jc w:val="center"/>
        <w:rPr>
          <w:rFonts w:asciiTheme="majorBidi" w:hAnsiTheme="majorBidi" w:cstheme="majorBidi"/>
          <w:sz w:val="52"/>
          <w:szCs w:val="52"/>
        </w:rPr>
      </w:pPr>
      <w:r w:rsidRPr="00712AF8">
        <w:rPr>
          <w:color w:val="2F2A2B"/>
          <w:w w:val="105"/>
          <w:sz w:val="52"/>
          <w:szCs w:val="52"/>
        </w:rPr>
        <w:t>References</w:t>
      </w:r>
    </w:p>
    <w:p w14:paraId="710CD3AE" w14:textId="1421A91C" w:rsidR="00DC1C91" w:rsidRPr="00323965" w:rsidRDefault="00DC1C91" w:rsidP="00DC1C91">
      <w:pPr>
        <w:widowControl/>
        <w:autoSpaceDE/>
        <w:autoSpaceDN/>
      </w:pPr>
    </w:p>
    <w:p w14:paraId="4266A564" w14:textId="76E3BDF3" w:rsidR="00B239BE" w:rsidRDefault="00B239BE" w:rsidP="00BE2470">
      <w:pPr>
        <w:widowControl/>
        <w:autoSpaceDE/>
        <w:autoSpaceDN/>
        <w:ind w:left="720" w:hanging="720"/>
        <w:rPr>
          <w:rStyle w:val="authors"/>
          <w:b/>
          <w:bCs/>
        </w:rPr>
      </w:pPr>
    </w:p>
    <w:p w14:paraId="19FAFE34" w14:textId="38E31686" w:rsidR="00B239BE" w:rsidRDefault="00B239BE" w:rsidP="00BE2470">
      <w:pPr>
        <w:widowControl/>
        <w:autoSpaceDE/>
        <w:autoSpaceDN/>
        <w:ind w:left="720" w:hanging="720"/>
        <w:rPr>
          <w:rStyle w:val="authors"/>
          <w:b/>
          <w:bCs/>
        </w:rPr>
      </w:pPr>
      <w:r w:rsidRPr="00B239BE">
        <w:rPr>
          <w:rStyle w:val="authors"/>
          <w:b/>
          <w:bCs/>
        </w:rPr>
        <w:t>Celenza, A. (2007). Sexual boundary violations: Therapeutic, supervisory, and academic contexts. Jason Aronson.</w:t>
      </w:r>
    </w:p>
    <w:p w14:paraId="60AADD11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15EFB3D0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Gutheil, T., &amp; Brodsky, A. (2008). Preventing boundary violations in clinical practice. Guilford.</w:t>
      </w:r>
    </w:p>
    <w:p w14:paraId="27D1F5DA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3CD16404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Reamer, F. (2021). Boundary and dual relationship issues in the human services (3rd ed.). Columbia University Press.</w:t>
      </w:r>
    </w:p>
    <w:p w14:paraId="47F6D3A8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6322A494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Reamer, F. (2023). Ethical standards in social work: A review of the NASW Code of Ethics (rev. 3rd ed.). NASW Press.</w:t>
      </w:r>
    </w:p>
    <w:p w14:paraId="4310A5B8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70B26985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Reamer, F. (2024). The social work ethics casebook: Cases and commentary (rev. 3rd ed.). NASW Press.</w:t>
      </w:r>
    </w:p>
    <w:p w14:paraId="0786FFD1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6110A900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Reamer, F. (2024). Social work values and ethics (6th ed.). Columbia University Press.</w:t>
      </w:r>
    </w:p>
    <w:p w14:paraId="5730480E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 </w:t>
      </w:r>
    </w:p>
    <w:p w14:paraId="72491FDE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Reamer, F. (2023). Risk management in the behavioral health professions: A practical guide to preventing malpractice and licensing-board complaints. Columbia University Press.</w:t>
      </w:r>
    </w:p>
    <w:p w14:paraId="7A587F3B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3015F6BE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Steinberg, L., Alpert, J., &amp; Courtois, C., Eds. (2021). Sexual boundary violations in psychotherapy. American Psychological Association.</w:t>
      </w:r>
    </w:p>
    <w:p w14:paraId="55A797B0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 </w:t>
      </w:r>
    </w:p>
    <w:p w14:paraId="19730B6A" w14:textId="77777777" w:rsidR="00455DFB" w:rsidRPr="00455DFB" w:rsidRDefault="00455DFB" w:rsidP="00455DFB">
      <w:pPr>
        <w:widowControl/>
        <w:autoSpaceDE/>
        <w:autoSpaceDN/>
        <w:rPr>
          <w:b/>
          <w:bCs/>
        </w:rPr>
      </w:pPr>
      <w:r w:rsidRPr="00455DFB">
        <w:rPr>
          <w:b/>
          <w:bCs/>
        </w:rPr>
        <w:t>Zur, O. (Ed.). (2016). Multiple relationships in psychotherapy and counseling: Unavoidable, common, and mandatory dual relations in therapy. Taylor &amp; Francis.</w:t>
      </w:r>
    </w:p>
    <w:p w14:paraId="1CBCA5A4" w14:textId="0C2B4ADD" w:rsidR="00B239BE" w:rsidRDefault="00B239BE" w:rsidP="00B239BE">
      <w:pPr>
        <w:widowControl/>
        <w:autoSpaceDE/>
        <w:autoSpaceDN/>
        <w:rPr>
          <w:rStyle w:val="authors"/>
          <w:b/>
          <w:bCs/>
        </w:rPr>
      </w:pPr>
    </w:p>
    <w:sectPr w:rsidR="00B239BE">
      <w:type w:val="continuous"/>
      <w:pgSz w:w="12240" w:h="15840"/>
      <w:pgMar w:top="1500" w:right="13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E1BD8"/>
    <w:multiLevelType w:val="hybridMultilevel"/>
    <w:tmpl w:val="DAF20A3A"/>
    <w:lvl w:ilvl="0" w:tplc="B57E492C">
      <w:start w:val="4"/>
      <w:numFmt w:val="decimal"/>
      <w:lvlText w:val="%1."/>
      <w:lvlJc w:val="left"/>
      <w:pPr>
        <w:ind w:left="118" w:hanging="179"/>
        <w:jc w:val="left"/>
      </w:pPr>
      <w:rPr>
        <w:rFonts w:ascii="Times New Roman" w:eastAsia="Times New Roman" w:hAnsi="Times New Roman" w:cs="Times New Roman" w:hint="default"/>
        <w:color w:val="2F2A2B"/>
        <w:spacing w:val="-8"/>
        <w:w w:val="100"/>
        <w:sz w:val="21"/>
        <w:szCs w:val="21"/>
      </w:rPr>
    </w:lvl>
    <w:lvl w:ilvl="1" w:tplc="A0F6A8C8">
      <w:numFmt w:val="bullet"/>
      <w:lvlText w:val="•"/>
      <w:lvlJc w:val="left"/>
      <w:pPr>
        <w:ind w:left="1104" w:hanging="179"/>
      </w:pPr>
      <w:rPr>
        <w:rFonts w:hint="default"/>
      </w:rPr>
    </w:lvl>
    <w:lvl w:ilvl="2" w:tplc="AA04F910">
      <w:numFmt w:val="bullet"/>
      <w:lvlText w:val="•"/>
      <w:lvlJc w:val="left"/>
      <w:pPr>
        <w:ind w:left="2088" w:hanging="179"/>
      </w:pPr>
      <w:rPr>
        <w:rFonts w:hint="default"/>
      </w:rPr>
    </w:lvl>
    <w:lvl w:ilvl="3" w:tplc="91722932">
      <w:numFmt w:val="bullet"/>
      <w:lvlText w:val="•"/>
      <w:lvlJc w:val="left"/>
      <w:pPr>
        <w:ind w:left="3072" w:hanging="179"/>
      </w:pPr>
      <w:rPr>
        <w:rFonts w:hint="default"/>
      </w:rPr>
    </w:lvl>
    <w:lvl w:ilvl="4" w:tplc="A8147ECA">
      <w:numFmt w:val="bullet"/>
      <w:lvlText w:val="•"/>
      <w:lvlJc w:val="left"/>
      <w:pPr>
        <w:ind w:left="4056" w:hanging="179"/>
      </w:pPr>
      <w:rPr>
        <w:rFonts w:hint="default"/>
      </w:rPr>
    </w:lvl>
    <w:lvl w:ilvl="5" w:tplc="6A107B22">
      <w:numFmt w:val="bullet"/>
      <w:lvlText w:val="•"/>
      <w:lvlJc w:val="left"/>
      <w:pPr>
        <w:ind w:left="5040" w:hanging="179"/>
      </w:pPr>
      <w:rPr>
        <w:rFonts w:hint="default"/>
      </w:rPr>
    </w:lvl>
    <w:lvl w:ilvl="6" w:tplc="62CED5CE">
      <w:numFmt w:val="bullet"/>
      <w:lvlText w:val="•"/>
      <w:lvlJc w:val="left"/>
      <w:pPr>
        <w:ind w:left="6024" w:hanging="179"/>
      </w:pPr>
      <w:rPr>
        <w:rFonts w:hint="default"/>
      </w:rPr>
    </w:lvl>
    <w:lvl w:ilvl="7" w:tplc="FE3257EE">
      <w:numFmt w:val="bullet"/>
      <w:lvlText w:val="•"/>
      <w:lvlJc w:val="left"/>
      <w:pPr>
        <w:ind w:left="7008" w:hanging="179"/>
      </w:pPr>
      <w:rPr>
        <w:rFonts w:hint="default"/>
      </w:rPr>
    </w:lvl>
    <w:lvl w:ilvl="8" w:tplc="A588BF10">
      <w:numFmt w:val="bullet"/>
      <w:lvlText w:val="•"/>
      <w:lvlJc w:val="left"/>
      <w:pPr>
        <w:ind w:left="7992" w:hanging="179"/>
      </w:pPr>
      <w:rPr>
        <w:rFonts w:hint="default"/>
      </w:rPr>
    </w:lvl>
  </w:abstractNum>
  <w:num w:numId="1" w16cid:durableId="165166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0D"/>
    <w:rsid w:val="00002B38"/>
    <w:rsid w:val="00046288"/>
    <w:rsid w:val="000C094D"/>
    <w:rsid w:val="000C44AD"/>
    <w:rsid w:val="000C453C"/>
    <w:rsid w:val="00111496"/>
    <w:rsid w:val="001168C3"/>
    <w:rsid w:val="002B77AB"/>
    <w:rsid w:val="002E351F"/>
    <w:rsid w:val="002E56C9"/>
    <w:rsid w:val="00323965"/>
    <w:rsid w:val="00325BA3"/>
    <w:rsid w:val="00352928"/>
    <w:rsid w:val="00422C31"/>
    <w:rsid w:val="00455DFB"/>
    <w:rsid w:val="00515C60"/>
    <w:rsid w:val="00627583"/>
    <w:rsid w:val="00636162"/>
    <w:rsid w:val="00640078"/>
    <w:rsid w:val="006609FC"/>
    <w:rsid w:val="0069767D"/>
    <w:rsid w:val="00712AF8"/>
    <w:rsid w:val="007D4EE7"/>
    <w:rsid w:val="00814471"/>
    <w:rsid w:val="008E7F5D"/>
    <w:rsid w:val="00930A30"/>
    <w:rsid w:val="00A1180D"/>
    <w:rsid w:val="00A61536"/>
    <w:rsid w:val="00AC055B"/>
    <w:rsid w:val="00B11385"/>
    <w:rsid w:val="00B239BE"/>
    <w:rsid w:val="00BA6617"/>
    <w:rsid w:val="00BE2470"/>
    <w:rsid w:val="00BE30F4"/>
    <w:rsid w:val="00C93208"/>
    <w:rsid w:val="00CA72FB"/>
    <w:rsid w:val="00CD6F01"/>
    <w:rsid w:val="00CE5620"/>
    <w:rsid w:val="00D12DB5"/>
    <w:rsid w:val="00D57517"/>
    <w:rsid w:val="00D6382C"/>
    <w:rsid w:val="00DB7DDA"/>
    <w:rsid w:val="00DC1C91"/>
    <w:rsid w:val="00DE7C3A"/>
    <w:rsid w:val="00E515BF"/>
    <w:rsid w:val="00EA34CC"/>
    <w:rsid w:val="00EA7FF6"/>
    <w:rsid w:val="00EC7A6D"/>
    <w:rsid w:val="00F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7110"/>
  <w15:docId w15:val="{E794AAF7-A8B4-480C-B293-AB17A714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99"/>
      <w:ind w:left="119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68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8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F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hors">
    <w:name w:val="authors"/>
    <w:basedOn w:val="DefaultParagraphFont"/>
    <w:rsid w:val="00DE7C3A"/>
  </w:style>
  <w:style w:type="character" w:customStyle="1" w:styleId="Date1">
    <w:name w:val="Date1"/>
    <w:basedOn w:val="DefaultParagraphFont"/>
    <w:rsid w:val="00DE7C3A"/>
  </w:style>
  <w:style w:type="character" w:customStyle="1" w:styleId="arttitle">
    <w:name w:val="art_title"/>
    <w:basedOn w:val="DefaultParagraphFont"/>
    <w:rsid w:val="00DE7C3A"/>
  </w:style>
  <w:style w:type="character" w:customStyle="1" w:styleId="serialtitle">
    <w:name w:val="serial_title"/>
    <w:basedOn w:val="DefaultParagraphFont"/>
    <w:rsid w:val="00DE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Attention Deficit Hyperactivity and Misconceptions about Treatments revised - ACFrOgCIcQXMKjWSAef-auG3W6tr1GQX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Attention Deficit Hyperactivity and Misconceptions about Treatments revised - ACFrOgCIcQXMKjWSAef-auG3W6tr1GQX</dc:title>
  <dc:creator>Hi ho Hi ho</dc:creator>
  <cp:lastModifiedBy>Sandi Cardaman</cp:lastModifiedBy>
  <cp:revision>4</cp:revision>
  <dcterms:created xsi:type="dcterms:W3CDTF">2022-12-15T22:59:00Z</dcterms:created>
  <dcterms:modified xsi:type="dcterms:W3CDTF">2024-12-18T20:24:00Z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2020-08-05T00:00:00Z</vt:filetime>
  </property>
</Properties>
</file>