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D769" w14:textId="46DD59B0" w:rsidR="00CC129B" w:rsidRDefault="00A47D70" w:rsidP="002375C1">
      <w:pPr>
        <w:tabs>
          <w:tab w:val="left" w:pos="2250"/>
          <w:tab w:val="center" w:pos="4525"/>
        </w:tabs>
        <w:spacing w:after="120"/>
        <w:jc w:val="center"/>
        <w:rPr>
          <w:b/>
          <w:bCs/>
          <w:sz w:val="24"/>
          <w:szCs w:val="24"/>
        </w:rPr>
      </w:pPr>
      <w:r w:rsidRPr="002C7EAC">
        <w:rPr>
          <w:b/>
          <w:bCs/>
          <w:sz w:val="24"/>
          <w:szCs w:val="24"/>
        </w:rPr>
        <w:t>SIMON HUDD</w:t>
      </w:r>
    </w:p>
    <w:p w14:paraId="62FC1A60" w14:textId="77777777" w:rsidR="004D651C" w:rsidRPr="004D651C" w:rsidRDefault="00000000" w:rsidP="00C75A91">
      <w:pPr>
        <w:spacing w:after="120"/>
        <w:jc w:val="center"/>
        <w:rPr>
          <w:sz w:val="18"/>
          <w:szCs w:val="18"/>
        </w:rPr>
      </w:pPr>
      <w:hyperlink r:id="rId7" w:history="1">
        <w:r w:rsidR="004D651C" w:rsidRPr="004D651C">
          <w:rPr>
            <w:rStyle w:val="Hyperlink"/>
            <w:sz w:val="18"/>
            <w:szCs w:val="18"/>
          </w:rPr>
          <w:t>https://www.linkedin.com/in/simon-hudd-law/</w:t>
        </w:r>
      </w:hyperlink>
    </w:p>
    <w:p w14:paraId="41730076" w14:textId="2A859D9B" w:rsidR="00A47D70" w:rsidRPr="002C7EAC" w:rsidRDefault="00A47D70" w:rsidP="00C75A91">
      <w:pPr>
        <w:spacing w:after="120"/>
        <w:jc w:val="center"/>
        <w:rPr>
          <w:rFonts w:cstheme="minorHAnsi"/>
          <w:b/>
          <w:bCs/>
          <w:sz w:val="18"/>
          <w:szCs w:val="18"/>
        </w:rPr>
      </w:pPr>
      <w:r w:rsidRPr="002C7EAC">
        <w:rPr>
          <w:rStyle w:val="lt-line-clampline"/>
          <w:rFonts w:cstheme="minorHAnsi"/>
          <w:sz w:val="18"/>
          <w:szCs w:val="18"/>
          <w:bdr w:val="none" w:sz="0" w:space="0" w:color="auto" w:frame="1"/>
          <w:shd w:val="clear" w:color="auto" w:fill="FFFFFF"/>
        </w:rPr>
        <w:t>A highly experienced executive providing outstanding legal, strategic and commercial advice.</w: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5"/>
      </w:tblGrid>
      <w:tr w:rsidR="00A47D70" w14:paraId="4E999218" w14:textId="77777777" w:rsidTr="000662E2">
        <w:tc>
          <w:tcPr>
            <w:tcW w:w="9498" w:type="dxa"/>
            <w:gridSpan w:val="2"/>
            <w:shd w:val="clear" w:color="auto" w:fill="D9D9D9" w:themeFill="background1" w:themeFillShade="D9"/>
          </w:tcPr>
          <w:p w14:paraId="7BE9ACDD" w14:textId="0BEF73FD" w:rsidR="00A47D70" w:rsidRPr="002C7EAC" w:rsidRDefault="00A47D70" w:rsidP="00885C8D">
            <w:pPr>
              <w:rPr>
                <w:b/>
                <w:bCs/>
                <w:sz w:val="20"/>
                <w:szCs w:val="20"/>
              </w:rPr>
            </w:pPr>
            <w:r w:rsidRPr="002C7EAC">
              <w:rPr>
                <w:b/>
                <w:bCs/>
                <w:sz w:val="20"/>
                <w:szCs w:val="20"/>
              </w:rPr>
              <w:t>SUMMARY</w:t>
            </w:r>
          </w:p>
        </w:tc>
      </w:tr>
      <w:tr w:rsidR="00A47D70" w14:paraId="68F4AE22" w14:textId="77777777" w:rsidTr="000662E2">
        <w:tc>
          <w:tcPr>
            <w:tcW w:w="9498" w:type="dxa"/>
            <w:gridSpan w:val="2"/>
          </w:tcPr>
          <w:p w14:paraId="0A0086EB" w14:textId="2D06FB2A" w:rsidR="00D6742B" w:rsidRPr="0068191E" w:rsidRDefault="00D6742B" w:rsidP="68B19744">
            <w:pPr>
              <w:numPr>
                <w:ilvl w:val="0"/>
                <w:numId w:val="2"/>
              </w:numPr>
              <w:tabs>
                <w:tab w:val="clear" w:pos="720"/>
                <w:tab w:val="num" w:pos="464"/>
              </w:tabs>
              <w:spacing w:before="120"/>
              <w:ind w:hanging="688"/>
              <w:jc w:val="both"/>
              <w:rPr>
                <w:smallCaps/>
                <w:sz w:val="18"/>
                <w:szCs w:val="18"/>
              </w:rPr>
            </w:pPr>
            <w:r w:rsidRPr="1C3D44FE">
              <w:rPr>
                <w:sz w:val="18"/>
                <w:szCs w:val="18"/>
              </w:rPr>
              <w:t>Highly decorated legal career</w:t>
            </w:r>
            <w:r w:rsidR="00C05B8F" w:rsidRPr="1C3D44FE">
              <w:rPr>
                <w:sz w:val="18"/>
                <w:szCs w:val="18"/>
              </w:rPr>
              <w:t xml:space="preserve"> at</w:t>
            </w:r>
            <w:r w:rsidRPr="1C3D44FE">
              <w:rPr>
                <w:sz w:val="18"/>
                <w:szCs w:val="18"/>
              </w:rPr>
              <w:t xml:space="preserve"> major international law firms in multiple global financial centres</w:t>
            </w:r>
          </w:p>
          <w:p w14:paraId="07010907" w14:textId="5BD0B626" w:rsidR="55240850" w:rsidRDefault="55240850" w:rsidP="00E52E9D">
            <w:pPr>
              <w:numPr>
                <w:ilvl w:val="0"/>
                <w:numId w:val="2"/>
              </w:numPr>
              <w:tabs>
                <w:tab w:val="clear" w:pos="720"/>
                <w:tab w:val="num" w:pos="464"/>
              </w:tabs>
              <w:spacing w:before="60"/>
              <w:ind w:hanging="688"/>
              <w:jc w:val="both"/>
              <w:rPr>
                <w:sz w:val="18"/>
                <w:szCs w:val="18"/>
              </w:rPr>
            </w:pPr>
            <w:r w:rsidRPr="1C3D44FE">
              <w:rPr>
                <w:sz w:val="18"/>
                <w:szCs w:val="18"/>
              </w:rPr>
              <w:t xml:space="preserve">Successful transition into </w:t>
            </w:r>
            <w:r w:rsidR="00E52E9D">
              <w:rPr>
                <w:sz w:val="18"/>
                <w:szCs w:val="18"/>
              </w:rPr>
              <w:t xml:space="preserve">business </w:t>
            </w:r>
            <w:r w:rsidR="0054790E">
              <w:rPr>
                <w:sz w:val="18"/>
                <w:szCs w:val="18"/>
              </w:rPr>
              <w:t>executive roles in 2020</w:t>
            </w:r>
          </w:p>
          <w:p w14:paraId="3C0B428A" w14:textId="4ED5156D" w:rsidR="00A47D70" w:rsidRPr="0097007F" w:rsidRDefault="00D6742B" w:rsidP="00E52E9D">
            <w:pPr>
              <w:numPr>
                <w:ilvl w:val="0"/>
                <w:numId w:val="2"/>
              </w:numPr>
              <w:tabs>
                <w:tab w:val="clear" w:pos="720"/>
                <w:tab w:val="num" w:pos="464"/>
              </w:tabs>
              <w:spacing w:before="60" w:line="259" w:lineRule="auto"/>
              <w:ind w:hanging="688"/>
              <w:jc w:val="both"/>
            </w:pPr>
            <w:r w:rsidRPr="1C3D44FE">
              <w:rPr>
                <w:sz w:val="18"/>
                <w:szCs w:val="18"/>
              </w:rPr>
              <w:t>"a great lawyer who understands commercial rationale and can work with the pressures of emerging market clients" (Chambers UK)</w:t>
            </w:r>
          </w:p>
          <w:p w14:paraId="74868DA3" w14:textId="5776FE97" w:rsidR="00BB7698" w:rsidRPr="00D6742B" w:rsidRDefault="00BF25C9" w:rsidP="00E52E9D">
            <w:pPr>
              <w:numPr>
                <w:ilvl w:val="0"/>
                <w:numId w:val="2"/>
              </w:numPr>
              <w:tabs>
                <w:tab w:val="clear" w:pos="720"/>
                <w:tab w:val="num" w:pos="464"/>
              </w:tabs>
              <w:spacing w:before="60" w:after="60" w:line="259" w:lineRule="auto"/>
              <w:ind w:hanging="688"/>
              <w:jc w:val="both"/>
            </w:pPr>
            <w:r w:rsidRPr="1C3D44FE">
              <w:rPr>
                <w:sz w:val="18"/>
                <w:szCs w:val="18"/>
              </w:rPr>
              <w:t>“</w:t>
            </w:r>
            <w:proofErr w:type="gramStart"/>
            <w:r w:rsidR="0097007F" w:rsidRPr="1C3D44FE">
              <w:rPr>
                <w:sz w:val="18"/>
                <w:szCs w:val="18"/>
              </w:rPr>
              <w:t>more</w:t>
            </w:r>
            <w:proofErr w:type="gramEnd"/>
            <w:r w:rsidR="0097007F" w:rsidRPr="1C3D44FE">
              <w:rPr>
                <w:sz w:val="18"/>
                <w:szCs w:val="18"/>
              </w:rPr>
              <w:t xml:space="preserve"> commercial and entrepreneurial than any lawyer I have </w:t>
            </w:r>
            <w:r w:rsidR="0068191E" w:rsidRPr="1C3D44FE">
              <w:rPr>
                <w:sz w:val="18"/>
                <w:szCs w:val="18"/>
              </w:rPr>
              <w:t>assisted in their transition from private practice to the commercial world</w:t>
            </w:r>
            <w:r w:rsidR="0097007F" w:rsidRPr="1C3D44FE">
              <w:rPr>
                <w:sz w:val="18"/>
                <w:szCs w:val="18"/>
              </w:rPr>
              <w:t>” (Charles Glass, Business Coach, the PCP)</w:t>
            </w:r>
          </w:p>
        </w:tc>
      </w:tr>
      <w:tr w:rsidR="00BB7698" w14:paraId="06816424" w14:textId="77777777" w:rsidTr="000662E2">
        <w:tc>
          <w:tcPr>
            <w:tcW w:w="9498" w:type="dxa"/>
            <w:gridSpan w:val="2"/>
            <w:shd w:val="clear" w:color="auto" w:fill="D9D9D9" w:themeFill="background1" w:themeFillShade="D9"/>
          </w:tcPr>
          <w:p w14:paraId="7B083FB8" w14:textId="4C0334B6" w:rsidR="00BB7698" w:rsidRPr="002C7EAC" w:rsidRDefault="00BB7698" w:rsidP="00BB7698">
            <w:pPr>
              <w:rPr>
                <w:b/>
                <w:bCs/>
                <w:sz w:val="20"/>
                <w:szCs w:val="20"/>
              </w:rPr>
            </w:pPr>
            <w:r w:rsidRPr="002C7EAC">
              <w:rPr>
                <w:b/>
                <w:bCs/>
                <w:sz w:val="20"/>
                <w:szCs w:val="20"/>
              </w:rPr>
              <w:t>S</w:t>
            </w:r>
            <w:r>
              <w:rPr>
                <w:b/>
                <w:bCs/>
                <w:sz w:val="20"/>
                <w:szCs w:val="20"/>
              </w:rPr>
              <w:t>KILLSET</w:t>
            </w:r>
          </w:p>
        </w:tc>
      </w:tr>
      <w:tr w:rsidR="00BB7698" w14:paraId="6CDB2F20" w14:textId="77777777" w:rsidTr="000662E2">
        <w:tc>
          <w:tcPr>
            <w:tcW w:w="9498" w:type="dxa"/>
            <w:gridSpan w:val="2"/>
          </w:tcPr>
          <w:p w14:paraId="118A2456" w14:textId="7090FAAE" w:rsidR="00B2203D" w:rsidRDefault="00B2203D" w:rsidP="003B3367">
            <w:pPr>
              <w:spacing w:before="120"/>
              <w:jc w:val="both"/>
              <w:rPr>
                <w:sz w:val="18"/>
                <w:szCs w:val="18"/>
              </w:rPr>
            </w:pPr>
            <w:r>
              <w:rPr>
                <w:sz w:val="18"/>
                <w:szCs w:val="18"/>
              </w:rPr>
              <w:t>My main current focus is on advising small to medium sized technology companies on equity fundraisings from VCs, family offices and HNWIs.</w:t>
            </w:r>
            <w:r w:rsidR="009635BA">
              <w:rPr>
                <w:sz w:val="18"/>
                <w:szCs w:val="18"/>
              </w:rPr>
              <w:t xml:space="preserve"> I am also a current non-executive Chairman of a company listed on the </w:t>
            </w:r>
            <w:proofErr w:type="spellStart"/>
            <w:r w:rsidR="009635BA">
              <w:rPr>
                <w:sz w:val="18"/>
                <w:szCs w:val="18"/>
              </w:rPr>
              <w:t>Aquis</w:t>
            </w:r>
            <w:proofErr w:type="spellEnd"/>
            <w:r w:rsidR="009635BA">
              <w:rPr>
                <w:sz w:val="18"/>
                <w:szCs w:val="18"/>
              </w:rPr>
              <w:t xml:space="preserve"> stock exchange. </w:t>
            </w:r>
          </w:p>
          <w:p w14:paraId="0C9853ED" w14:textId="46ED1D4E" w:rsidR="0054790E" w:rsidRDefault="0054790E" w:rsidP="003B3367">
            <w:pPr>
              <w:spacing w:before="120"/>
              <w:jc w:val="both"/>
              <w:rPr>
                <w:sz w:val="18"/>
                <w:szCs w:val="18"/>
              </w:rPr>
            </w:pPr>
            <w:r>
              <w:rPr>
                <w:sz w:val="18"/>
                <w:szCs w:val="18"/>
              </w:rPr>
              <w:t>I have extensive equity capital markets experience, and have worked on IPOs, takeovers and listed company advisory work on LSE, AIM, A</w:t>
            </w:r>
            <w:r w:rsidR="002C4508">
              <w:rPr>
                <w:sz w:val="18"/>
                <w:szCs w:val="18"/>
              </w:rPr>
              <w:t>QSE</w:t>
            </w:r>
            <w:r>
              <w:rPr>
                <w:sz w:val="18"/>
                <w:szCs w:val="18"/>
              </w:rPr>
              <w:t>, NYSE, NASDAQ, TSX and many other exchanges in international financial centres.</w:t>
            </w:r>
          </w:p>
          <w:p w14:paraId="543CB234" w14:textId="521C4A81" w:rsidR="009635BA" w:rsidRPr="009635BA" w:rsidRDefault="009635BA" w:rsidP="009635BA">
            <w:pPr>
              <w:spacing w:before="120" w:after="0" w:line="240" w:lineRule="auto"/>
              <w:jc w:val="both"/>
              <w:rPr>
                <w:sz w:val="18"/>
                <w:szCs w:val="18"/>
              </w:rPr>
            </w:pPr>
            <w:r>
              <w:rPr>
                <w:sz w:val="18"/>
                <w:szCs w:val="18"/>
              </w:rPr>
              <w:t xml:space="preserve">I am </w:t>
            </w:r>
            <w:proofErr w:type="spellStart"/>
            <w:r>
              <w:rPr>
                <w:sz w:val="18"/>
                <w:szCs w:val="18"/>
              </w:rPr>
              <w:t>e</w:t>
            </w:r>
            <w:r w:rsidRPr="009635BA">
              <w:rPr>
                <w:sz w:val="18"/>
                <w:szCs w:val="18"/>
              </w:rPr>
              <w:t>qually</w:t>
            </w:r>
            <w:proofErr w:type="spellEnd"/>
            <w:r w:rsidRPr="009635BA">
              <w:rPr>
                <w:sz w:val="18"/>
                <w:szCs w:val="18"/>
              </w:rPr>
              <w:t xml:space="preserve"> well skilled on the other side of the fence knowing what an investing party is looking for</w:t>
            </w:r>
            <w:r>
              <w:rPr>
                <w:sz w:val="18"/>
                <w:szCs w:val="18"/>
              </w:rPr>
              <w:t xml:space="preserve"> and</w:t>
            </w:r>
            <w:r w:rsidRPr="009635BA">
              <w:rPr>
                <w:sz w:val="18"/>
                <w:szCs w:val="18"/>
              </w:rPr>
              <w:t xml:space="preserve"> expecting for their involvement and the questions, input, and feedback constantly desired to ensure a “de-risked” view is achieved around any monies going into a business.</w:t>
            </w:r>
          </w:p>
          <w:p w14:paraId="2A19387C" w14:textId="04EDCA38" w:rsidR="009635BA" w:rsidRDefault="009635BA" w:rsidP="009635BA">
            <w:pPr>
              <w:spacing w:before="120"/>
              <w:jc w:val="both"/>
              <w:rPr>
                <w:sz w:val="18"/>
                <w:szCs w:val="18"/>
              </w:rPr>
            </w:pPr>
            <w:r w:rsidRPr="009635BA">
              <w:rPr>
                <w:sz w:val="18"/>
                <w:szCs w:val="18"/>
              </w:rPr>
              <w:t>Such a skillset of knowing both sides of the investment market leave</w:t>
            </w:r>
            <w:r>
              <w:rPr>
                <w:sz w:val="18"/>
                <w:szCs w:val="18"/>
              </w:rPr>
              <w:t xml:space="preserve"> me</w:t>
            </w:r>
            <w:r w:rsidRPr="009635BA">
              <w:rPr>
                <w:sz w:val="18"/>
                <w:szCs w:val="18"/>
              </w:rPr>
              <w:t xml:space="preserve"> uniquely placed to not only support a VE/PE with the strategic side of their investment decision but also able to work with the fund-raising CEO to educate as to not only how to become investment ready, but also what the journey will truly feel like and how to manage the medium to learn term strategy.</w:t>
            </w:r>
          </w:p>
          <w:p w14:paraId="407D6D4E" w14:textId="77FC6E1D" w:rsidR="00BB7698" w:rsidRDefault="00BB7698" w:rsidP="003B3367">
            <w:pPr>
              <w:spacing w:before="120"/>
              <w:jc w:val="both"/>
              <w:rPr>
                <w:sz w:val="18"/>
                <w:szCs w:val="18"/>
              </w:rPr>
            </w:pPr>
            <w:r>
              <w:rPr>
                <w:sz w:val="18"/>
                <w:szCs w:val="18"/>
              </w:rPr>
              <w:t>I am an outstanding written and verbal communicator</w:t>
            </w:r>
            <w:r w:rsidR="004D651C">
              <w:rPr>
                <w:sz w:val="18"/>
                <w:szCs w:val="18"/>
              </w:rPr>
              <w:t>, legal draftsman</w:t>
            </w:r>
            <w:r>
              <w:rPr>
                <w:sz w:val="18"/>
                <w:szCs w:val="18"/>
              </w:rPr>
              <w:t xml:space="preserve"> and a highly effective negotiator. I quickly develop a thorough understanding of a client’s commercial goals and deploy this to obtain their desired result.</w:t>
            </w:r>
          </w:p>
          <w:p w14:paraId="38C111F9" w14:textId="4CB28AA1" w:rsidR="00BB7698" w:rsidRDefault="00BB7698" w:rsidP="003B3367">
            <w:pPr>
              <w:spacing w:before="120"/>
              <w:jc w:val="both"/>
              <w:rPr>
                <w:sz w:val="18"/>
                <w:szCs w:val="18"/>
              </w:rPr>
            </w:pPr>
            <w:r>
              <w:rPr>
                <w:sz w:val="18"/>
                <w:szCs w:val="18"/>
              </w:rPr>
              <w:t>I am a self-starter with experience both working in small groups and as a leader of regional and global teams.</w:t>
            </w:r>
            <w:r w:rsidR="00B2203D">
              <w:rPr>
                <w:sz w:val="18"/>
                <w:szCs w:val="18"/>
              </w:rPr>
              <w:t xml:space="preserve"> </w:t>
            </w:r>
            <w:r w:rsidR="00281827">
              <w:rPr>
                <w:sz w:val="18"/>
                <w:szCs w:val="18"/>
              </w:rPr>
              <w:t xml:space="preserve">I am highly adaptable and have </w:t>
            </w:r>
            <w:r>
              <w:rPr>
                <w:sz w:val="18"/>
                <w:szCs w:val="18"/>
              </w:rPr>
              <w:t xml:space="preserve">truly </w:t>
            </w:r>
            <w:r w:rsidR="00281827">
              <w:rPr>
                <w:sz w:val="18"/>
                <w:szCs w:val="18"/>
              </w:rPr>
              <w:t>global experience</w:t>
            </w:r>
            <w:r>
              <w:rPr>
                <w:sz w:val="18"/>
                <w:szCs w:val="18"/>
              </w:rPr>
              <w:t>.</w:t>
            </w:r>
          </w:p>
          <w:p w14:paraId="530473CC" w14:textId="65D56769" w:rsidR="00BB7698" w:rsidRPr="002C7EAC" w:rsidRDefault="00BB7698" w:rsidP="003B3367">
            <w:pPr>
              <w:spacing w:before="120" w:after="120"/>
              <w:jc w:val="both"/>
              <w:rPr>
                <w:sz w:val="18"/>
                <w:szCs w:val="18"/>
              </w:rPr>
            </w:pPr>
            <w:r>
              <w:rPr>
                <w:sz w:val="18"/>
                <w:szCs w:val="18"/>
              </w:rPr>
              <w:t>I am success- and goals-driven and a high achiever, although I do so while maintaining a collaborative and friendly approach to both clients and colleagues.</w:t>
            </w:r>
          </w:p>
        </w:tc>
      </w:tr>
      <w:tr w:rsidR="0054790E" w14:paraId="11769718" w14:textId="77777777" w:rsidTr="0054790E">
        <w:tblPrEx>
          <w:shd w:val="clear" w:color="auto" w:fill="D9D9D9" w:themeFill="background1" w:themeFillShade="D9"/>
        </w:tblPrEx>
        <w:trPr>
          <w:trHeight w:val="135"/>
        </w:trPr>
        <w:tc>
          <w:tcPr>
            <w:tcW w:w="9498" w:type="dxa"/>
            <w:gridSpan w:val="2"/>
            <w:shd w:val="clear" w:color="auto" w:fill="D9D9D9" w:themeFill="background1" w:themeFillShade="D9"/>
          </w:tcPr>
          <w:p w14:paraId="7CD55D46" w14:textId="77777777" w:rsidR="0054790E" w:rsidRPr="0054790E" w:rsidRDefault="0054790E" w:rsidP="0054790E">
            <w:pPr>
              <w:rPr>
                <w:b/>
                <w:bCs/>
                <w:sz w:val="20"/>
                <w:szCs w:val="20"/>
              </w:rPr>
            </w:pPr>
            <w:r w:rsidRPr="0054790E">
              <w:rPr>
                <w:b/>
                <w:bCs/>
                <w:sz w:val="20"/>
                <w:szCs w:val="20"/>
              </w:rPr>
              <w:t>2021 – PRESENT: BLACK SEA PROPERTY PLC</w:t>
            </w:r>
          </w:p>
          <w:p w14:paraId="30BB0333" w14:textId="3ECEB104" w:rsidR="0054790E" w:rsidRPr="68B19744" w:rsidRDefault="0054790E" w:rsidP="0054790E">
            <w:pPr>
              <w:rPr>
                <w:sz w:val="18"/>
                <w:szCs w:val="18"/>
              </w:rPr>
            </w:pPr>
            <w:r w:rsidRPr="0054790E">
              <w:rPr>
                <w:b/>
                <w:bCs/>
                <w:sz w:val="20"/>
                <w:szCs w:val="20"/>
              </w:rPr>
              <w:t>Director and Non-</w:t>
            </w:r>
            <w:r>
              <w:rPr>
                <w:b/>
                <w:bCs/>
                <w:sz w:val="20"/>
                <w:szCs w:val="20"/>
              </w:rPr>
              <w:t>E</w:t>
            </w:r>
            <w:r w:rsidRPr="0054790E">
              <w:rPr>
                <w:b/>
                <w:bCs/>
                <w:sz w:val="20"/>
                <w:szCs w:val="20"/>
              </w:rPr>
              <w:t>xecutive Chairman</w:t>
            </w:r>
          </w:p>
        </w:tc>
      </w:tr>
      <w:tr w:rsidR="0054790E" w14:paraId="1AE3A48D" w14:textId="77777777" w:rsidTr="0054790E">
        <w:tblPrEx>
          <w:shd w:val="clear" w:color="auto" w:fill="D9D9D9" w:themeFill="background1" w:themeFillShade="D9"/>
        </w:tblPrEx>
        <w:trPr>
          <w:trHeight w:val="135"/>
        </w:trPr>
        <w:tc>
          <w:tcPr>
            <w:tcW w:w="9498" w:type="dxa"/>
            <w:gridSpan w:val="2"/>
            <w:shd w:val="clear" w:color="auto" w:fill="FFFFFF" w:themeFill="background1"/>
          </w:tcPr>
          <w:p w14:paraId="71851E2D" w14:textId="657A5E90" w:rsidR="0054790E" w:rsidRPr="0054790E" w:rsidRDefault="0054790E" w:rsidP="00E52E9D">
            <w:pPr>
              <w:spacing w:before="120" w:after="120"/>
              <w:jc w:val="both"/>
              <w:rPr>
                <w:b/>
                <w:bCs/>
                <w:sz w:val="20"/>
                <w:szCs w:val="20"/>
              </w:rPr>
            </w:pPr>
            <w:r w:rsidRPr="0054790E">
              <w:rPr>
                <w:sz w:val="18"/>
                <w:szCs w:val="18"/>
              </w:rPr>
              <w:t xml:space="preserve">Appointed to the board </w:t>
            </w:r>
            <w:r>
              <w:rPr>
                <w:sz w:val="18"/>
                <w:szCs w:val="18"/>
              </w:rPr>
              <w:t xml:space="preserve">in February 2021 to assist the Company be restored from trading on </w:t>
            </w:r>
            <w:proofErr w:type="spellStart"/>
            <w:r>
              <w:rPr>
                <w:sz w:val="18"/>
                <w:szCs w:val="18"/>
              </w:rPr>
              <w:t>Aquis</w:t>
            </w:r>
            <w:proofErr w:type="spellEnd"/>
            <w:r>
              <w:rPr>
                <w:sz w:val="18"/>
                <w:szCs w:val="18"/>
              </w:rPr>
              <w:t xml:space="preserve"> Stock Exchange (following suspension in Q4 2020). Assisted board in recovery from impacts of COVID-19,</w:t>
            </w:r>
            <w:r w:rsidR="00B2203D">
              <w:rPr>
                <w:sz w:val="18"/>
                <w:szCs w:val="18"/>
              </w:rPr>
              <w:t xml:space="preserve"> M&amp;A transactions totalling $6m,</w:t>
            </w:r>
            <w:r>
              <w:rPr>
                <w:sz w:val="18"/>
                <w:szCs w:val="18"/>
              </w:rPr>
              <w:t xml:space="preserve"> disposals of assets, capital expenditure on developing real estate assets, proposed equity capital raise for Q</w:t>
            </w:r>
            <w:r w:rsidR="00B2203D">
              <w:rPr>
                <w:sz w:val="18"/>
                <w:szCs w:val="18"/>
              </w:rPr>
              <w:t>4</w:t>
            </w:r>
            <w:r>
              <w:rPr>
                <w:sz w:val="18"/>
                <w:szCs w:val="18"/>
              </w:rPr>
              <w:t xml:space="preserve"> of 2021, liaison with Peterhouse Capital (AQSE Corporate Advisor), assisting with announcements, audited accounts and general business advisory to the board.</w:t>
            </w:r>
            <w:r w:rsidR="009635BA">
              <w:rPr>
                <w:sz w:val="18"/>
                <w:szCs w:val="18"/>
              </w:rPr>
              <w:t xml:space="preserve"> </w:t>
            </w:r>
            <w:r w:rsidR="009635BA" w:rsidRPr="009635BA">
              <w:rPr>
                <w:sz w:val="18"/>
                <w:szCs w:val="18"/>
              </w:rPr>
              <w:t>Recently closed a EUR30 million fundraising round and also completed on a major M&amp;A transaction for a new hotel and marina complex on the Black Sea coast.</w:t>
            </w:r>
          </w:p>
        </w:tc>
      </w:tr>
      <w:tr w:rsidR="00DA2297" w:rsidRPr="0054790E" w14:paraId="5C40DC12" w14:textId="77777777" w:rsidTr="00DA2297">
        <w:tblPrEx>
          <w:shd w:val="clear" w:color="auto" w:fill="D9D9D9" w:themeFill="background1" w:themeFillShade="D9"/>
        </w:tblPrEx>
        <w:trPr>
          <w:trHeight w:val="135"/>
        </w:trPr>
        <w:tc>
          <w:tcPr>
            <w:tcW w:w="9498" w:type="dxa"/>
            <w:gridSpan w:val="2"/>
            <w:shd w:val="clear" w:color="auto" w:fill="D9D9D9" w:themeFill="background1" w:themeFillShade="D9"/>
          </w:tcPr>
          <w:p w14:paraId="3DAB4BCA" w14:textId="737F0592" w:rsidR="00DA2297" w:rsidRDefault="00DA2297" w:rsidP="00EF1C31">
            <w:pPr>
              <w:rPr>
                <w:b/>
                <w:bCs/>
                <w:sz w:val="20"/>
                <w:szCs w:val="20"/>
              </w:rPr>
            </w:pPr>
            <w:r>
              <w:rPr>
                <w:b/>
                <w:bCs/>
                <w:sz w:val="20"/>
                <w:szCs w:val="20"/>
              </w:rPr>
              <w:t>2023- PRESENT: CYCAL ENERGY LIMITED</w:t>
            </w:r>
          </w:p>
          <w:p w14:paraId="5105880B" w14:textId="752FD667" w:rsidR="00DA2297" w:rsidRPr="0054790E" w:rsidRDefault="00DA2297" w:rsidP="00DA2297">
            <w:pPr>
              <w:rPr>
                <w:b/>
                <w:bCs/>
                <w:sz w:val="20"/>
                <w:szCs w:val="20"/>
              </w:rPr>
            </w:pPr>
            <w:r>
              <w:rPr>
                <w:b/>
                <w:bCs/>
                <w:sz w:val="20"/>
                <w:szCs w:val="20"/>
              </w:rPr>
              <w:t>General Counsel and Company Secretary</w:t>
            </w:r>
          </w:p>
        </w:tc>
      </w:tr>
      <w:tr w:rsidR="00DA2297" w:rsidRPr="0054790E" w14:paraId="19B98D85" w14:textId="77777777" w:rsidTr="00DA2297">
        <w:tblPrEx>
          <w:shd w:val="clear" w:color="auto" w:fill="D9D9D9" w:themeFill="background1" w:themeFillShade="D9"/>
        </w:tblPrEx>
        <w:trPr>
          <w:trHeight w:val="135"/>
        </w:trPr>
        <w:tc>
          <w:tcPr>
            <w:tcW w:w="9498" w:type="dxa"/>
            <w:gridSpan w:val="2"/>
            <w:shd w:val="clear" w:color="auto" w:fill="auto"/>
          </w:tcPr>
          <w:p w14:paraId="35410069" w14:textId="3414568D" w:rsidR="00DA2297" w:rsidRPr="003B331B" w:rsidRDefault="009635BA" w:rsidP="00DA2297">
            <w:pPr>
              <w:spacing w:before="120" w:after="120"/>
              <w:jc w:val="both"/>
              <w:rPr>
                <w:sz w:val="20"/>
                <w:szCs w:val="20"/>
              </w:rPr>
            </w:pPr>
            <w:r w:rsidRPr="009635BA">
              <w:rPr>
                <w:sz w:val="18"/>
                <w:szCs w:val="18"/>
              </w:rPr>
              <w:t xml:space="preserve">Co-Founder of cleantech start-up focusing on advanced mechanical recycling, pyrolysis, adapting land use for renewable energy and battery storage and with the ambition of developing multiple real estate development projects in the UK and internationally. </w:t>
            </w:r>
            <w:proofErr w:type="spellStart"/>
            <w:r w:rsidRPr="009635BA">
              <w:rPr>
                <w:sz w:val="18"/>
                <w:szCs w:val="18"/>
              </w:rPr>
              <w:t>Cycal</w:t>
            </w:r>
            <w:proofErr w:type="spellEnd"/>
            <w:r w:rsidRPr="009635BA">
              <w:rPr>
                <w:sz w:val="18"/>
                <w:szCs w:val="18"/>
              </w:rPr>
              <w:t xml:space="preserve"> advises landowners, developers and power purchasers on the 'art of the possible' for a given development project, leading to an in-depth feasibility study and eventually a full build-out of a major site.</w:t>
            </w:r>
            <w:r w:rsidR="003B331B">
              <w:rPr>
                <w:sz w:val="18"/>
                <w:szCs w:val="18"/>
              </w:rPr>
              <w:t xml:space="preserve">  </w:t>
            </w:r>
          </w:p>
        </w:tc>
      </w:tr>
      <w:tr w:rsidR="003B331B" w:rsidRPr="0054790E" w14:paraId="5267A7AA" w14:textId="77777777" w:rsidTr="00513D9A">
        <w:tblPrEx>
          <w:shd w:val="clear" w:color="auto" w:fill="D9D9D9" w:themeFill="background1" w:themeFillShade="D9"/>
        </w:tblPrEx>
        <w:trPr>
          <w:trHeight w:val="135"/>
        </w:trPr>
        <w:tc>
          <w:tcPr>
            <w:tcW w:w="9498" w:type="dxa"/>
            <w:gridSpan w:val="2"/>
            <w:shd w:val="clear" w:color="auto" w:fill="D9D9D9" w:themeFill="background1" w:themeFillShade="D9"/>
          </w:tcPr>
          <w:p w14:paraId="1384738A" w14:textId="77777777" w:rsidR="003B331B" w:rsidRDefault="003B331B" w:rsidP="00513D9A">
            <w:pPr>
              <w:rPr>
                <w:b/>
                <w:bCs/>
                <w:sz w:val="20"/>
                <w:szCs w:val="20"/>
              </w:rPr>
            </w:pPr>
            <w:r>
              <w:rPr>
                <w:b/>
                <w:bCs/>
                <w:sz w:val="20"/>
                <w:szCs w:val="20"/>
              </w:rPr>
              <w:t>2022- PRESENT: BLOCKLAND TECHNOLOGIES LIMITED</w:t>
            </w:r>
          </w:p>
          <w:p w14:paraId="5B5120E4" w14:textId="77777777" w:rsidR="003B331B" w:rsidRPr="0054790E" w:rsidRDefault="003B331B" w:rsidP="00513D9A">
            <w:pPr>
              <w:rPr>
                <w:b/>
                <w:bCs/>
                <w:sz w:val="20"/>
                <w:szCs w:val="20"/>
              </w:rPr>
            </w:pPr>
            <w:r>
              <w:rPr>
                <w:b/>
                <w:bCs/>
                <w:sz w:val="20"/>
                <w:szCs w:val="20"/>
              </w:rPr>
              <w:t xml:space="preserve">Non-Executive Director </w:t>
            </w:r>
          </w:p>
        </w:tc>
      </w:tr>
      <w:tr w:rsidR="003B331B" w:rsidRPr="0054790E" w14:paraId="2BB69321" w14:textId="77777777" w:rsidTr="00513D9A">
        <w:tblPrEx>
          <w:shd w:val="clear" w:color="auto" w:fill="D9D9D9" w:themeFill="background1" w:themeFillShade="D9"/>
        </w:tblPrEx>
        <w:trPr>
          <w:trHeight w:val="135"/>
        </w:trPr>
        <w:tc>
          <w:tcPr>
            <w:tcW w:w="9498" w:type="dxa"/>
            <w:gridSpan w:val="2"/>
            <w:shd w:val="clear" w:color="auto" w:fill="auto"/>
          </w:tcPr>
          <w:p w14:paraId="7B5CA1C2" w14:textId="57A1E69D" w:rsidR="003B331B" w:rsidRDefault="003B331B" w:rsidP="003B331B">
            <w:pPr>
              <w:spacing w:before="120" w:after="120"/>
              <w:jc w:val="both"/>
              <w:rPr>
                <w:b/>
                <w:bCs/>
                <w:sz w:val="20"/>
                <w:szCs w:val="20"/>
              </w:rPr>
            </w:pPr>
            <w:r w:rsidRPr="003B331B">
              <w:rPr>
                <w:sz w:val="18"/>
                <w:szCs w:val="18"/>
              </w:rPr>
              <w:t xml:space="preserve">Blockland is a fintech company licensed by the Dubai International Financial Centre. It owns various assets across both renewable energy and digital </w:t>
            </w:r>
            <w:proofErr w:type="gramStart"/>
            <w:r w:rsidRPr="003B331B">
              <w:rPr>
                <w:sz w:val="18"/>
                <w:szCs w:val="18"/>
              </w:rPr>
              <w:t>assets, and</w:t>
            </w:r>
            <w:proofErr w:type="gramEnd"/>
            <w:r w:rsidRPr="003B331B">
              <w:rPr>
                <w:sz w:val="18"/>
                <w:szCs w:val="18"/>
              </w:rPr>
              <w:t xml:space="preserve"> is the largest zero emission Bitcoin mining company in Europe with locations in Norway and Iceland. Working with the shareholders to develop further locations in Norway, Iceland and Denmark and working on joint ventures with data centre companies in the UK to increase capacity.</w:t>
            </w:r>
            <w:r w:rsidR="009635BA">
              <w:rPr>
                <w:sz w:val="18"/>
                <w:szCs w:val="18"/>
              </w:rPr>
              <w:t xml:space="preserve"> </w:t>
            </w:r>
            <w:r w:rsidR="009635BA" w:rsidRPr="009635BA">
              <w:rPr>
                <w:sz w:val="18"/>
                <w:szCs w:val="18"/>
              </w:rPr>
              <w:t>Successfully completed internal tax restructuring and debt financing deal with Sygnum Bank for zero emissions projects.</w:t>
            </w:r>
          </w:p>
        </w:tc>
      </w:tr>
      <w:tr w:rsidR="003B331B" w:rsidRPr="0054790E" w14:paraId="7ED20040" w14:textId="77777777" w:rsidTr="00513D9A">
        <w:tblPrEx>
          <w:shd w:val="clear" w:color="auto" w:fill="D9D9D9" w:themeFill="background1" w:themeFillShade="D9"/>
        </w:tblPrEx>
        <w:trPr>
          <w:trHeight w:val="135"/>
        </w:trPr>
        <w:tc>
          <w:tcPr>
            <w:tcW w:w="9498" w:type="dxa"/>
            <w:gridSpan w:val="2"/>
            <w:shd w:val="clear" w:color="auto" w:fill="D9D9D9" w:themeFill="background1" w:themeFillShade="D9"/>
          </w:tcPr>
          <w:p w14:paraId="45F3CF7C" w14:textId="77777777" w:rsidR="003B331B" w:rsidRDefault="003B331B" w:rsidP="00513D9A">
            <w:pPr>
              <w:rPr>
                <w:b/>
                <w:bCs/>
                <w:sz w:val="20"/>
                <w:szCs w:val="20"/>
              </w:rPr>
            </w:pPr>
            <w:r w:rsidRPr="0054790E">
              <w:rPr>
                <w:b/>
                <w:bCs/>
                <w:sz w:val="20"/>
                <w:szCs w:val="20"/>
              </w:rPr>
              <w:t>202</w:t>
            </w:r>
            <w:r>
              <w:rPr>
                <w:b/>
                <w:bCs/>
                <w:sz w:val="20"/>
                <w:szCs w:val="20"/>
              </w:rPr>
              <w:t>1</w:t>
            </w:r>
            <w:r w:rsidRPr="0054790E">
              <w:rPr>
                <w:b/>
                <w:bCs/>
                <w:sz w:val="20"/>
                <w:szCs w:val="20"/>
              </w:rPr>
              <w:t xml:space="preserve"> – PRESENT: </w:t>
            </w:r>
            <w:r>
              <w:rPr>
                <w:b/>
                <w:bCs/>
                <w:sz w:val="20"/>
                <w:szCs w:val="20"/>
              </w:rPr>
              <w:t>REACTOO</w:t>
            </w:r>
          </w:p>
          <w:p w14:paraId="356BACD4" w14:textId="77777777" w:rsidR="003B331B" w:rsidRPr="0054790E" w:rsidRDefault="003B331B" w:rsidP="00513D9A">
            <w:pPr>
              <w:rPr>
                <w:b/>
                <w:bCs/>
                <w:sz w:val="20"/>
                <w:szCs w:val="20"/>
              </w:rPr>
            </w:pPr>
            <w:r>
              <w:rPr>
                <w:b/>
                <w:bCs/>
                <w:sz w:val="20"/>
                <w:szCs w:val="20"/>
              </w:rPr>
              <w:t>Advisory Board Member</w:t>
            </w:r>
          </w:p>
        </w:tc>
      </w:tr>
      <w:tr w:rsidR="003B331B" w:rsidRPr="0054790E" w14:paraId="6B5F7AB6" w14:textId="77777777" w:rsidTr="00513D9A">
        <w:tblPrEx>
          <w:shd w:val="clear" w:color="auto" w:fill="D9D9D9" w:themeFill="background1" w:themeFillShade="D9"/>
        </w:tblPrEx>
        <w:trPr>
          <w:trHeight w:val="135"/>
        </w:trPr>
        <w:tc>
          <w:tcPr>
            <w:tcW w:w="9498" w:type="dxa"/>
            <w:gridSpan w:val="2"/>
            <w:shd w:val="clear" w:color="auto" w:fill="FFFFFF" w:themeFill="background1"/>
          </w:tcPr>
          <w:p w14:paraId="5960A324" w14:textId="4F4D9ABF" w:rsidR="003B331B" w:rsidRPr="0054790E" w:rsidRDefault="003B331B" w:rsidP="00513D9A">
            <w:pPr>
              <w:spacing w:before="120" w:after="120"/>
              <w:rPr>
                <w:b/>
                <w:bCs/>
                <w:sz w:val="20"/>
                <w:szCs w:val="20"/>
              </w:rPr>
            </w:pPr>
            <w:r>
              <w:rPr>
                <w:sz w:val="18"/>
                <w:szCs w:val="18"/>
              </w:rPr>
              <w:t xml:space="preserve">Engaged in October 2021 to assist </w:t>
            </w:r>
            <w:proofErr w:type="spellStart"/>
            <w:r>
              <w:rPr>
                <w:sz w:val="18"/>
                <w:szCs w:val="18"/>
              </w:rPr>
              <w:t>Reactoo</w:t>
            </w:r>
            <w:proofErr w:type="spellEnd"/>
            <w:r>
              <w:rPr>
                <w:sz w:val="18"/>
                <w:szCs w:val="18"/>
              </w:rPr>
              <w:t>, a company focusing on watch party technology and audience engagement, with a £2m fundraising. Appointed to advisory board, assisting CEO, COO and advisors with fundraising collateral, investor messaging, outreach to VCs, family offices and HNWIs. Ongoing advice to management on fundraising strategy, roadmap and interface with investor base. Longer term strategic advice on exits for management, secondary fundraising strategy, preferred investor profiling and negotiations of investment terms with investor candidates.</w:t>
            </w:r>
          </w:p>
        </w:tc>
      </w:tr>
      <w:tr w:rsidR="003B331B" w:rsidRPr="0054790E" w14:paraId="412A9813" w14:textId="77777777" w:rsidTr="00513D9A">
        <w:tblPrEx>
          <w:shd w:val="clear" w:color="auto" w:fill="D9D9D9" w:themeFill="background1" w:themeFillShade="D9"/>
        </w:tblPrEx>
        <w:trPr>
          <w:trHeight w:val="135"/>
        </w:trPr>
        <w:tc>
          <w:tcPr>
            <w:tcW w:w="9498" w:type="dxa"/>
            <w:gridSpan w:val="2"/>
            <w:shd w:val="clear" w:color="auto" w:fill="D9D9D9" w:themeFill="background1" w:themeFillShade="D9"/>
          </w:tcPr>
          <w:p w14:paraId="2B29E8B2" w14:textId="3663F7BA" w:rsidR="003B331B" w:rsidRDefault="003B331B" w:rsidP="00513D9A">
            <w:pPr>
              <w:rPr>
                <w:b/>
                <w:bCs/>
                <w:sz w:val="20"/>
                <w:szCs w:val="20"/>
              </w:rPr>
            </w:pPr>
            <w:r w:rsidRPr="0054790E">
              <w:rPr>
                <w:b/>
                <w:bCs/>
                <w:sz w:val="20"/>
                <w:szCs w:val="20"/>
              </w:rPr>
              <w:lastRenderedPageBreak/>
              <w:t xml:space="preserve">2020 – PRESENT: D3A </w:t>
            </w:r>
            <w:r w:rsidR="00E6549E">
              <w:rPr>
                <w:b/>
                <w:bCs/>
                <w:sz w:val="20"/>
                <w:szCs w:val="20"/>
              </w:rPr>
              <w:t>CAPITAL AND ADVISORY LIMITED</w:t>
            </w:r>
          </w:p>
          <w:p w14:paraId="01D0C538" w14:textId="77777777" w:rsidR="003B331B" w:rsidRPr="0054790E" w:rsidRDefault="003B331B" w:rsidP="00513D9A">
            <w:pPr>
              <w:rPr>
                <w:b/>
                <w:bCs/>
                <w:sz w:val="20"/>
                <w:szCs w:val="20"/>
              </w:rPr>
            </w:pPr>
            <w:r>
              <w:rPr>
                <w:b/>
                <w:bCs/>
                <w:sz w:val="20"/>
                <w:szCs w:val="20"/>
              </w:rPr>
              <w:t>Partner</w:t>
            </w:r>
          </w:p>
        </w:tc>
      </w:tr>
      <w:tr w:rsidR="003B331B" w:rsidRPr="0054790E" w14:paraId="472AC829" w14:textId="77777777" w:rsidTr="00513D9A">
        <w:tblPrEx>
          <w:shd w:val="clear" w:color="auto" w:fill="D9D9D9" w:themeFill="background1" w:themeFillShade="D9"/>
        </w:tblPrEx>
        <w:trPr>
          <w:trHeight w:val="135"/>
        </w:trPr>
        <w:tc>
          <w:tcPr>
            <w:tcW w:w="9498" w:type="dxa"/>
            <w:gridSpan w:val="2"/>
            <w:shd w:val="clear" w:color="auto" w:fill="FFFFFF" w:themeFill="background1"/>
          </w:tcPr>
          <w:p w14:paraId="1A18DEDF" w14:textId="77777777" w:rsidR="003B331B" w:rsidRPr="0054790E" w:rsidRDefault="003B331B" w:rsidP="00513D9A">
            <w:pPr>
              <w:spacing w:before="120" w:after="120"/>
              <w:jc w:val="both"/>
              <w:rPr>
                <w:b/>
                <w:bCs/>
                <w:sz w:val="20"/>
                <w:szCs w:val="20"/>
              </w:rPr>
            </w:pPr>
            <w:r w:rsidRPr="00E52E9D">
              <w:rPr>
                <w:sz w:val="18"/>
                <w:szCs w:val="18"/>
              </w:rPr>
              <w:t>Team of 18 senior executives working in partnership with technology driven companies and entrepreneurs to grow and develop their businesses for scale and success</w:t>
            </w:r>
            <w:r>
              <w:rPr>
                <w:sz w:val="18"/>
                <w:szCs w:val="18"/>
              </w:rPr>
              <w:t>.</w:t>
            </w:r>
          </w:p>
        </w:tc>
      </w:tr>
      <w:tr w:rsidR="00B2203D" w:rsidRPr="0054790E" w14:paraId="720788EC" w14:textId="77777777" w:rsidTr="00EF1C31">
        <w:tblPrEx>
          <w:shd w:val="clear" w:color="auto" w:fill="D9D9D9" w:themeFill="background1" w:themeFillShade="D9"/>
        </w:tblPrEx>
        <w:trPr>
          <w:trHeight w:val="135"/>
        </w:trPr>
        <w:tc>
          <w:tcPr>
            <w:tcW w:w="9498" w:type="dxa"/>
            <w:gridSpan w:val="2"/>
            <w:shd w:val="clear" w:color="auto" w:fill="D9D9D9" w:themeFill="background1" w:themeFillShade="D9"/>
          </w:tcPr>
          <w:p w14:paraId="71B9A697" w14:textId="0B601F94" w:rsidR="00B2203D" w:rsidRDefault="00B2203D" w:rsidP="00EF1C31">
            <w:pPr>
              <w:rPr>
                <w:b/>
                <w:bCs/>
                <w:sz w:val="20"/>
                <w:szCs w:val="20"/>
              </w:rPr>
            </w:pPr>
            <w:r w:rsidRPr="0054790E">
              <w:rPr>
                <w:b/>
                <w:bCs/>
                <w:sz w:val="20"/>
                <w:szCs w:val="20"/>
              </w:rPr>
              <w:t>202</w:t>
            </w:r>
            <w:r>
              <w:rPr>
                <w:b/>
                <w:bCs/>
                <w:sz w:val="20"/>
                <w:szCs w:val="20"/>
              </w:rPr>
              <w:t>1</w:t>
            </w:r>
            <w:r w:rsidRPr="0054790E">
              <w:rPr>
                <w:b/>
                <w:bCs/>
                <w:sz w:val="20"/>
                <w:szCs w:val="20"/>
              </w:rPr>
              <w:t xml:space="preserve"> – </w:t>
            </w:r>
            <w:r w:rsidR="00DA2297">
              <w:rPr>
                <w:b/>
                <w:bCs/>
                <w:sz w:val="20"/>
                <w:szCs w:val="20"/>
              </w:rPr>
              <w:t>2023</w:t>
            </w:r>
            <w:r w:rsidRPr="0054790E">
              <w:rPr>
                <w:b/>
                <w:bCs/>
                <w:sz w:val="20"/>
                <w:szCs w:val="20"/>
              </w:rPr>
              <w:t xml:space="preserve">: </w:t>
            </w:r>
            <w:r w:rsidR="00DA2297">
              <w:rPr>
                <w:b/>
                <w:bCs/>
                <w:sz w:val="20"/>
                <w:szCs w:val="20"/>
              </w:rPr>
              <w:t>AILERT</w:t>
            </w:r>
          </w:p>
          <w:p w14:paraId="7A38D9C6" w14:textId="3F78C992" w:rsidR="00B2203D" w:rsidRPr="0054790E" w:rsidRDefault="00DA2297" w:rsidP="00EF1C31">
            <w:pPr>
              <w:rPr>
                <w:b/>
                <w:bCs/>
                <w:sz w:val="20"/>
                <w:szCs w:val="20"/>
              </w:rPr>
            </w:pPr>
            <w:r>
              <w:rPr>
                <w:b/>
                <w:bCs/>
                <w:sz w:val="20"/>
                <w:szCs w:val="20"/>
              </w:rPr>
              <w:t>Chief Operating Officer</w:t>
            </w:r>
          </w:p>
        </w:tc>
      </w:tr>
      <w:tr w:rsidR="00B2203D" w14:paraId="2CE6FC72" w14:textId="77777777" w:rsidTr="0054790E">
        <w:tblPrEx>
          <w:shd w:val="clear" w:color="auto" w:fill="D9D9D9" w:themeFill="background1" w:themeFillShade="D9"/>
        </w:tblPrEx>
        <w:trPr>
          <w:trHeight w:val="135"/>
        </w:trPr>
        <w:tc>
          <w:tcPr>
            <w:tcW w:w="9498" w:type="dxa"/>
            <w:gridSpan w:val="2"/>
            <w:shd w:val="clear" w:color="auto" w:fill="FFFFFF" w:themeFill="background1"/>
          </w:tcPr>
          <w:p w14:paraId="3F6BFD73" w14:textId="556B15FF" w:rsidR="00B2203D" w:rsidRPr="00DA2297" w:rsidRDefault="009635BA" w:rsidP="00E52E9D">
            <w:pPr>
              <w:spacing w:before="120" w:after="120"/>
              <w:jc w:val="both"/>
              <w:rPr>
                <w:sz w:val="18"/>
                <w:szCs w:val="18"/>
                <w:highlight w:val="yellow"/>
              </w:rPr>
            </w:pPr>
            <w:r w:rsidRPr="009635BA">
              <w:rPr>
                <w:sz w:val="18"/>
                <w:szCs w:val="18"/>
              </w:rPr>
              <w:t xml:space="preserve">Engaged in September 2021 to assist </w:t>
            </w:r>
            <w:proofErr w:type="spellStart"/>
            <w:r w:rsidRPr="009635BA">
              <w:rPr>
                <w:sz w:val="18"/>
                <w:szCs w:val="18"/>
              </w:rPr>
              <w:t>AiLert</w:t>
            </w:r>
            <w:proofErr w:type="spellEnd"/>
            <w:r w:rsidRPr="009635BA">
              <w:rPr>
                <w:sz w:val="18"/>
                <w:szCs w:val="18"/>
              </w:rPr>
              <w:t>, a video analytics and AI retraining company focusing on weapons detection using CCTV. Appointed to advisory board, assisting CEO and COO with fundraising collateral, investor messaging, outreach to VCs, family offices and HNWIs. Subsequently promoted to COO, active involvement in EU Horizon 2020 IMPETUS consortium, application for UK DASA funding, establishing connections in the US, staffing and employee issues, invoicing, pitching for new sales leads, closing $1.3m in late seed funding from HNWIs and family offices.</w:t>
            </w:r>
          </w:p>
        </w:tc>
      </w:tr>
      <w:tr w:rsidR="00DA2297" w14:paraId="744D79C5" w14:textId="77777777" w:rsidTr="00513D9A">
        <w:tblPrEx>
          <w:shd w:val="clear" w:color="auto" w:fill="D9D9D9" w:themeFill="background1" w:themeFillShade="D9"/>
        </w:tblPrEx>
        <w:tc>
          <w:tcPr>
            <w:tcW w:w="9498" w:type="dxa"/>
            <w:gridSpan w:val="2"/>
            <w:shd w:val="clear" w:color="auto" w:fill="D9D9D9" w:themeFill="background1" w:themeFillShade="D9"/>
          </w:tcPr>
          <w:p w14:paraId="5E3DCCA9" w14:textId="1115F294" w:rsidR="00DA2297" w:rsidRPr="002C7EAC" w:rsidRDefault="00DA2297" w:rsidP="00513D9A">
            <w:pPr>
              <w:rPr>
                <w:b/>
                <w:bCs/>
                <w:sz w:val="20"/>
                <w:szCs w:val="20"/>
              </w:rPr>
            </w:pPr>
            <w:r w:rsidRPr="68B19744">
              <w:rPr>
                <w:b/>
                <w:bCs/>
                <w:sz w:val="20"/>
                <w:szCs w:val="20"/>
              </w:rPr>
              <w:t>2020 –</w:t>
            </w:r>
            <w:r>
              <w:rPr>
                <w:b/>
                <w:bCs/>
                <w:sz w:val="20"/>
                <w:szCs w:val="20"/>
              </w:rPr>
              <w:t xml:space="preserve"> 202</w:t>
            </w:r>
            <w:r w:rsidR="009635BA">
              <w:rPr>
                <w:b/>
                <w:bCs/>
                <w:sz w:val="20"/>
                <w:szCs w:val="20"/>
              </w:rPr>
              <w:t>2</w:t>
            </w:r>
            <w:r w:rsidRPr="68B19744">
              <w:rPr>
                <w:b/>
                <w:bCs/>
                <w:sz w:val="20"/>
                <w:szCs w:val="20"/>
              </w:rPr>
              <w:t>: GOLDILOCK SECURE LIMITED</w:t>
            </w:r>
          </w:p>
          <w:p w14:paraId="03E1462A" w14:textId="2ACCD385" w:rsidR="00DA2297" w:rsidRPr="002C7EAC" w:rsidRDefault="00DA2297" w:rsidP="00513D9A">
            <w:pPr>
              <w:rPr>
                <w:b/>
                <w:bCs/>
                <w:sz w:val="20"/>
                <w:szCs w:val="20"/>
              </w:rPr>
            </w:pPr>
            <w:r>
              <w:rPr>
                <w:b/>
                <w:bCs/>
                <w:sz w:val="20"/>
                <w:szCs w:val="20"/>
              </w:rPr>
              <w:t xml:space="preserve">Director, </w:t>
            </w:r>
            <w:r w:rsidRPr="68B19744">
              <w:rPr>
                <w:b/>
                <w:bCs/>
                <w:sz w:val="20"/>
                <w:szCs w:val="20"/>
              </w:rPr>
              <w:t>VP</w:t>
            </w:r>
            <w:r>
              <w:rPr>
                <w:b/>
                <w:bCs/>
                <w:sz w:val="20"/>
                <w:szCs w:val="20"/>
              </w:rPr>
              <w:t xml:space="preserve"> (</w:t>
            </w:r>
            <w:r w:rsidRPr="68B19744">
              <w:rPr>
                <w:b/>
                <w:bCs/>
                <w:sz w:val="20"/>
                <w:szCs w:val="20"/>
              </w:rPr>
              <w:t>Regulatory and Corporate Affairs</w:t>
            </w:r>
            <w:r>
              <w:rPr>
                <w:b/>
                <w:bCs/>
                <w:sz w:val="20"/>
                <w:szCs w:val="20"/>
              </w:rPr>
              <w:t>)</w:t>
            </w:r>
            <w:r w:rsidR="0048446A">
              <w:rPr>
                <w:b/>
                <w:bCs/>
                <w:sz w:val="20"/>
                <w:szCs w:val="20"/>
              </w:rPr>
              <w:t xml:space="preserve"> (2020-2021), Advisor (2021-Present)</w:t>
            </w:r>
          </w:p>
        </w:tc>
      </w:tr>
      <w:tr w:rsidR="00DA2297" w14:paraId="584283BA" w14:textId="77777777" w:rsidTr="00513D9A">
        <w:tblPrEx>
          <w:shd w:val="clear" w:color="auto" w:fill="D9D9D9" w:themeFill="background1" w:themeFillShade="D9"/>
        </w:tblPrEx>
        <w:trPr>
          <w:trHeight w:val="135"/>
        </w:trPr>
        <w:tc>
          <w:tcPr>
            <w:tcW w:w="9498" w:type="dxa"/>
            <w:gridSpan w:val="2"/>
            <w:shd w:val="clear" w:color="auto" w:fill="FFFFFF" w:themeFill="background1"/>
          </w:tcPr>
          <w:p w14:paraId="2721D704" w14:textId="48E44373" w:rsidR="00DA2297" w:rsidRPr="0048446A" w:rsidRDefault="00DA2297" w:rsidP="0048446A">
            <w:pPr>
              <w:spacing w:before="120" w:after="120"/>
              <w:jc w:val="both"/>
              <w:rPr>
                <w:sz w:val="18"/>
                <w:szCs w:val="18"/>
              </w:rPr>
            </w:pPr>
            <w:r w:rsidRPr="68B19744">
              <w:rPr>
                <w:sz w:val="18"/>
                <w:szCs w:val="18"/>
              </w:rPr>
              <w:t xml:space="preserve">In September 2020 I joined </w:t>
            </w:r>
            <w:proofErr w:type="spellStart"/>
            <w:r w:rsidRPr="68B19744">
              <w:rPr>
                <w:sz w:val="18"/>
                <w:szCs w:val="18"/>
              </w:rPr>
              <w:t>Goldilock</w:t>
            </w:r>
            <w:proofErr w:type="spellEnd"/>
            <w:r w:rsidRPr="68B19744">
              <w:rPr>
                <w:sz w:val="18"/>
                <w:szCs w:val="18"/>
              </w:rPr>
              <w:t xml:space="preserve">, a cybersecurity and network security start-up in a combined legal / strategic role. This commenced by spending Q4 2020 embedded in a technology accelerator in Abu Dhabi developing the company’s investor marketing materials, key investor messaging and building connections with </w:t>
            </w:r>
            <w:r>
              <w:rPr>
                <w:sz w:val="18"/>
                <w:szCs w:val="18"/>
              </w:rPr>
              <w:t>a</w:t>
            </w:r>
            <w:r w:rsidRPr="68B19744">
              <w:rPr>
                <w:sz w:val="18"/>
                <w:szCs w:val="18"/>
              </w:rPr>
              <w:t xml:space="preserve"> pipeline of financial services clients for 2021. </w:t>
            </w:r>
            <w:r w:rsidR="0048446A">
              <w:rPr>
                <w:sz w:val="18"/>
                <w:szCs w:val="18"/>
              </w:rPr>
              <w:t>L</w:t>
            </w:r>
            <w:r w:rsidRPr="68B19744">
              <w:rPr>
                <w:sz w:val="18"/>
                <w:szCs w:val="18"/>
              </w:rPr>
              <w:t>ed the company’s in-house legal and company secretarial function throughout a successful $1.</w:t>
            </w:r>
            <w:r>
              <w:rPr>
                <w:sz w:val="18"/>
                <w:szCs w:val="18"/>
              </w:rPr>
              <w:t>5</w:t>
            </w:r>
            <w:r w:rsidRPr="68B19744">
              <w:rPr>
                <w:sz w:val="18"/>
                <w:szCs w:val="18"/>
              </w:rPr>
              <w:t xml:space="preserve">m investment round and beyond, as well as playing a key role in developing use cases for </w:t>
            </w:r>
            <w:proofErr w:type="spellStart"/>
            <w:r w:rsidRPr="68B19744">
              <w:rPr>
                <w:sz w:val="18"/>
                <w:szCs w:val="18"/>
              </w:rPr>
              <w:t>Goldilock’s</w:t>
            </w:r>
            <w:proofErr w:type="spellEnd"/>
            <w:r w:rsidRPr="68B19744">
              <w:rPr>
                <w:sz w:val="18"/>
                <w:szCs w:val="18"/>
              </w:rPr>
              <w:t xml:space="preserve"> </w:t>
            </w:r>
            <w:r w:rsidR="009635BA">
              <w:rPr>
                <w:sz w:val="18"/>
                <w:szCs w:val="18"/>
              </w:rPr>
              <w:t>Drawbridge</w:t>
            </w:r>
            <w:r w:rsidRPr="68B19744">
              <w:rPr>
                <w:sz w:val="18"/>
                <w:szCs w:val="18"/>
              </w:rPr>
              <w:t xml:space="preserve"> product in the financial services and legal services sectors.</w:t>
            </w:r>
          </w:p>
        </w:tc>
      </w:tr>
      <w:tr w:rsidR="00B2203D" w14:paraId="084649CC" w14:textId="77777777" w:rsidTr="1C3D44FE">
        <w:tblPrEx>
          <w:shd w:val="clear" w:color="auto" w:fill="D9D9D9" w:themeFill="background1" w:themeFillShade="D9"/>
        </w:tblPrEx>
        <w:tc>
          <w:tcPr>
            <w:tcW w:w="9498" w:type="dxa"/>
            <w:gridSpan w:val="2"/>
            <w:shd w:val="clear" w:color="auto" w:fill="D9D9D9" w:themeFill="background1" w:themeFillShade="D9"/>
          </w:tcPr>
          <w:p w14:paraId="7FE17B5B" w14:textId="068522A9" w:rsidR="00B2203D" w:rsidRPr="002C7EAC" w:rsidRDefault="00B2203D" w:rsidP="00B2203D">
            <w:pPr>
              <w:rPr>
                <w:b/>
                <w:bCs/>
                <w:sz w:val="20"/>
                <w:szCs w:val="20"/>
              </w:rPr>
            </w:pPr>
            <w:r w:rsidRPr="68B19744">
              <w:rPr>
                <w:b/>
                <w:bCs/>
                <w:sz w:val="20"/>
                <w:szCs w:val="20"/>
              </w:rPr>
              <w:t xml:space="preserve">PRIVATE PRACTICE </w:t>
            </w:r>
            <w:r>
              <w:rPr>
                <w:b/>
                <w:bCs/>
                <w:sz w:val="20"/>
                <w:szCs w:val="20"/>
              </w:rPr>
              <w:t xml:space="preserve">LEGAL </w:t>
            </w:r>
            <w:r w:rsidRPr="68B19744">
              <w:rPr>
                <w:b/>
                <w:bCs/>
                <w:sz w:val="20"/>
                <w:szCs w:val="20"/>
              </w:rPr>
              <w:t>CAREER</w:t>
            </w:r>
          </w:p>
        </w:tc>
      </w:tr>
      <w:tr w:rsidR="00B2203D" w14:paraId="03EFE9C8" w14:textId="77777777" w:rsidTr="1C3D44FE">
        <w:tblPrEx>
          <w:shd w:val="clear" w:color="auto" w:fill="D9D9D9" w:themeFill="background1" w:themeFillShade="D9"/>
        </w:tblPrEx>
        <w:trPr>
          <w:trHeight w:val="69"/>
        </w:trPr>
        <w:tc>
          <w:tcPr>
            <w:tcW w:w="9498" w:type="dxa"/>
            <w:gridSpan w:val="2"/>
            <w:shd w:val="clear" w:color="auto" w:fill="FFFFFF" w:themeFill="background1"/>
          </w:tcPr>
          <w:p w14:paraId="57EA2A29" w14:textId="3FA4A657" w:rsidR="00B2203D" w:rsidRDefault="00B2203D" w:rsidP="00B2203D">
            <w:pPr>
              <w:spacing w:before="120"/>
              <w:jc w:val="both"/>
              <w:rPr>
                <w:sz w:val="18"/>
                <w:szCs w:val="18"/>
              </w:rPr>
            </w:pPr>
            <w:r w:rsidRPr="68B19744">
              <w:rPr>
                <w:sz w:val="18"/>
                <w:szCs w:val="18"/>
              </w:rPr>
              <w:t>19-year private practice career specialising in corporate finance, joint ventures, venture capital and private equity, mergers and acquisitions, general company law, banking and finance, corporate governance and structuring, practising the laws of England and Wales, British Virgin Islands, Jersey, Cayman Islands and Bermuda as well as time spent in-house on client secondments.</w:t>
            </w:r>
          </w:p>
          <w:p w14:paraId="2F9BF1BE" w14:textId="2110166D" w:rsidR="00B2203D" w:rsidRPr="002C7EAC" w:rsidRDefault="00B2203D" w:rsidP="00B2203D">
            <w:pPr>
              <w:spacing w:before="120"/>
              <w:jc w:val="both"/>
              <w:rPr>
                <w:b/>
                <w:bCs/>
                <w:i/>
                <w:iCs/>
                <w:sz w:val="18"/>
                <w:szCs w:val="18"/>
              </w:rPr>
            </w:pPr>
            <w:r>
              <w:rPr>
                <w:sz w:val="18"/>
                <w:szCs w:val="18"/>
              </w:rPr>
              <w:t>I have</w:t>
            </w:r>
            <w:r w:rsidRPr="002C7EAC">
              <w:rPr>
                <w:sz w:val="18"/>
                <w:szCs w:val="18"/>
              </w:rPr>
              <w:t xml:space="preserve"> been consistently ranked as a leader in</w:t>
            </w:r>
            <w:r>
              <w:rPr>
                <w:sz w:val="18"/>
                <w:szCs w:val="18"/>
              </w:rPr>
              <w:t xml:space="preserve"> my</w:t>
            </w:r>
            <w:r w:rsidRPr="002C7EAC">
              <w:rPr>
                <w:sz w:val="18"/>
                <w:szCs w:val="18"/>
              </w:rPr>
              <w:t xml:space="preserve"> field by legal industry publications</w:t>
            </w:r>
            <w:r>
              <w:rPr>
                <w:sz w:val="18"/>
                <w:szCs w:val="18"/>
              </w:rPr>
              <w:t>, based on client feedback and testimonials</w:t>
            </w:r>
            <w:r w:rsidRPr="002C7EAC">
              <w:rPr>
                <w:sz w:val="18"/>
                <w:szCs w:val="18"/>
              </w:rPr>
              <w:t xml:space="preserve"> (see </w:t>
            </w:r>
            <w:r w:rsidRPr="002C7EAC">
              <w:rPr>
                <w:b/>
                <w:bCs/>
                <w:i/>
                <w:iCs/>
                <w:sz w:val="18"/>
                <w:szCs w:val="18"/>
              </w:rPr>
              <w:t>Awards and Recognition</w:t>
            </w:r>
            <w:r w:rsidRPr="002C7EAC">
              <w:rPr>
                <w:sz w:val="18"/>
                <w:szCs w:val="18"/>
              </w:rPr>
              <w:t xml:space="preserve"> below).</w:t>
            </w:r>
          </w:p>
          <w:p w14:paraId="53D74146" w14:textId="7B090570" w:rsidR="00B2203D" w:rsidRPr="002C7EAC" w:rsidRDefault="00B2203D" w:rsidP="00B2203D">
            <w:pPr>
              <w:rPr>
                <w:b/>
                <w:bCs/>
                <w:sz w:val="18"/>
                <w:szCs w:val="18"/>
              </w:rPr>
            </w:pPr>
          </w:p>
        </w:tc>
      </w:tr>
      <w:tr w:rsidR="00B2203D" w14:paraId="23D60C90" w14:textId="77777777" w:rsidTr="1C3D44FE">
        <w:tblPrEx>
          <w:shd w:val="clear" w:color="auto" w:fill="D9D9D9" w:themeFill="background1" w:themeFillShade="D9"/>
        </w:tblPrEx>
        <w:trPr>
          <w:trHeight w:val="67"/>
        </w:trPr>
        <w:tc>
          <w:tcPr>
            <w:tcW w:w="1843" w:type="dxa"/>
            <w:shd w:val="clear" w:color="auto" w:fill="FFFFFF" w:themeFill="background1"/>
          </w:tcPr>
          <w:p w14:paraId="00A90E69" w14:textId="211C12CA" w:rsidR="00B2203D" w:rsidRPr="002C7EAC" w:rsidRDefault="00B2203D" w:rsidP="00B2203D">
            <w:pPr>
              <w:rPr>
                <w:b/>
                <w:bCs/>
                <w:sz w:val="18"/>
                <w:szCs w:val="18"/>
              </w:rPr>
            </w:pPr>
            <w:r w:rsidRPr="002C7EAC">
              <w:rPr>
                <w:b/>
                <w:bCs/>
                <w:noProof/>
                <w:sz w:val="18"/>
                <w:szCs w:val="18"/>
              </w:rPr>
              <w:drawing>
                <wp:inline distT="0" distB="0" distL="0" distR="0" wp14:anchorId="4D0996F0" wp14:editId="602330A0">
                  <wp:extent cx="954000" cy="9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rneys.png"/>
                          <pic:cNvPicPr/>
                        </pic:nvPicPr>
                        <pic:blipFill>
                          <a:blip r:embed="rId8">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4FAEABFE" w14:textId="7B54D62A" w:rsidR="00B2203D" w:rsidRPr="002C7EAC" w:rsidRDefault="00B2203D" w:rsidP="00B2203D">
            <w:pPr>
              <w:rPr>
                <w:b/>
                <w:bCs/>
                <w:sz w:val="18"/>
                <w:szCs w:val="18"/>
              </w:rPr>
            </w:pPr>
          </w:p>
        </w:tc>
        <w:tc>
          <w:tcPr>
            <w:tcW w:w="7655" w:type="dxa"/>
            <w:shd w:val="clear" w:color="auto" w:fill="FFFFFF" w:themeFill="background1"/>
          </w:tcPr>
          <w:p w14:paraId="76F4FF92" w14:textId="77777777" w:rsidR="00B2203D" w:rsidRPr="002C7EAC" w:rsidRDefault="00B2203D" w:rsidP="00B2203D">
            <w:pPr>
              <w:rPr>
                <w:b/>
                <w:bCs/>
                <w:sz w:val="18"/>
                <w:szCs w:val="18"/>
              </w:rPr>
            </w:pPr>
            <w:r w:rsidRPr="002C7EAC">
              <w:rPr>
                <w:b/>
                <w:bCs/>
                <w:sz w:val="18"/>
                <w:szCs w:val="18"/>
              </w:rPr>
              <w:t>Harney, Westwood &amp; Riegels, 2011-2019</w:t>
            </w:r>
          </w:p>
          <w:p w14:paraId="035EAF0C" w14:textId="7DDFD12B" w:rsidR="00B2203D" w:rsidRPr="002C7EAC" w:rsidRDefault="00B2203D" w:rsidP="00B2203D">
            <w:pPr>
              <w:rPr>
                <w:sz w:val="18"/>
                <w:szCs w:val="18"/>
              </w:rPr>
            </w:pPr>
            <w:r w:rsidRPr="002C7EAC">
              <w:rPr>
                <w:sz w:val="18"/>
                <w:szCs w:val="18"/>
              </w:rPr>
              <w:t>Partner, Global Corporate and Finance Department</w:t>
            </w:r>
            <w:r w:rsidRPr="002C7EAC">
              <w:rPr>
                <w:sz w:val="18"/>
                <w:szCs w:val="18"/>
              </w:rPr>
              <w:br/>
              <w:t>Global Head, Russia CIS &amp; CEE Practice Group</w:t>
            </w:r>
          </w:p>
          <w:p w14:paraId="5FE90B23" w14:textId="77777777" w:rsidR="00B2203D" w:rsidRPr="002C7EAC" w:rsidRDefault="00B2203D" w:rsidP="00B2203D">
            <w:pPr>
              <w:rPr>
                <w:sz w:val="18"/>
                <w:szCs w:val="18"/>
              </w:rPr>
            </w:pPr>
            <w:r w:rsidRPr="002C7EAC">
              <w:rPr>
                <w:sz w:val="18"/>
                <w:szCs w:val="18"/>
              </w:rPr>
              <w:t>Head of Corporate and Transactional Department, Bermuda office</w:t>
            </w:r>
          </w:p>
          <w:p w14:paraId="330C755A" w14:textId="746D193A" w:rsidR="00B2203D" w:rsidRDefault="00B2203D" w:rsidP="00B2203D">
            <w:pPr>
              <w:rPr>
                <w:sz w:val="18"/>
                <w:szCs w:val="18"/>
              </w:rPr>
            </w:pPr>
            <w:r>
              <w:rPr>
                <w:sz w:val="18"/>
                <w:szCs w:val="18"/>
              </w:rPr>
              <w:t>Head of Corporate Services, Bermuda office</w:t>
            </w:r>
          </w:p>
          <w:p w14:paraId="186DAED3" w14:textId="77777777" w:rsidR="00B2203D" w:rsidRPr="002C7EAC" w:rsidRDefault="00B2203D" w:rsidP="00B2203D">
            <w:pPr>
              <w:rPr>
                <w:sz w:val="18"/>
                <w:szCs w:val="18"/>
              </w:rPr>
            </w:pPr>
          </w:p>
          <w:p w14:paraId="5E8B5F5B" w14:textId="42766D5D" w:rsidR="00B2203D" w:rsidRPr="002C7EAC" w:rsidRDefault="00B2203D" w:rsidP="00B2203D">
            <w:pPr>
              <w:spacing w:after="120"/>
              <w:jc w:val="both"/>
              <w:rPr>
                <w:sz w:val="18"/>
                <w:szCs w:val="18"/>
              </w:rPr>
            </w:pPr>
            <w:r>
              <w:rPr>
                <w:sz w:val="18"/>
                <w:szCs w:val="18"/>
              </w:rPr>
              <w:t>I</w:t>
            </w:r>
            <w:r w:rsidRPr="002C7EAC">
              <w:rPr>
                <w:sz w:val="18"/>
                <w:szCs w:val="18"/>
              </w:rPr>
              <w:t xml:space="preserve"> joined Harneys in 2011 and built up the firm’s Russia, CIS and CEE practice to be the largest of its kind among offshore law firms. </w:t>
            </w:r>
            <w:r>
              <w:rPr>
                <w:sz w:val="18"/>
                <w:szCs w:val="18"/>
              </w:rPr>
              <w:t>I</w:t>
            </w:r>
            <w:r w:rsidRPr="002C7EAC">
              <w:rPr>
                <w:sz w:val="18"/>
                <w:szCs w:val="18"/>
              </w:rPr>
              <w:t xml:space="preserve"> was a key partner in Harneys’ London </w:t>
            </w:r>
            <w:proofErr w:type="gramStart"/>
            <w:r w:rsidRPr="002C7EAC">
              <w:rPr>
                <w:sz w:val="18"/>
                <w:szCs w:val="18"/>
              </w:rPr>
              <w:t>office, and</w:t>
            </w:r>
            <w:proofErr w:type="gramEnd"/>
            <w:r w:rsidRPr="002C7EAC">
              <w:rPr>
                <w:sz w:val="18"/>
                <w:szCs w:val="18"/>
              </w:rPr>
              <w:t xml:space="preserve"> relocated to Bermuda in 2017 to lead the development of Harneys’ Bermuda office. </w:t>
            </w:r>
          </w:p>
        </w:tc>
      </w:tr>
      <w:tr w:rsidR="00B2203D" w14:paraId="7B6EC939" w14:textId="77777777" w:rsidTr="1C3D44FE">
        <w:tblPrEx>
          <w:shd w:val="clear" w:color="auto" w:fill="D9D9D9" w:themeFill="background1" w:themeFillShade="D9"/>
        </w:tblPrEx>
        <w:trPr>
          <w:trHeight w:val="67"/>
        </w:trPr>
        <w:tc>
          <w:tcPr>
            <w:tcW w:w="1843" w:type="dxa"/>
            <w:shd w:val="clear" w:color="auto" w:fill="FFFFFF" w:themeFill="background1"/>
          </w:tcPr>
          <w:p w14:paraId="72FDD3C6" w14:textId="77777777" w:rsidR="00B2203D" w:rsidRPr="002C7EAC" w:rsidRDefault="00B2203D" w:rsidP="00B2203D">
            <w:pPr>
              <w:jc w:val="both"/>
              <w:rPr>
                <w:b/>
                <w:bCs/>
                <w:sz w:val="18"/>
                <w:szCs w:val="18"/>
              </w:rPr>
            </w:pPr>
            <w:r w:rsidRPr="002C7EAC">
              <w:rPr>
                <w:b/>
                <w:bCs/>
                <w:sz w:val="18"/>
                <w:szCs w:val="18"/>
              </w:rPr>
              <w:t>Transaction Highlights:</w:t>
            </w:r>
          </w:p>
          <w:p w14:paraId="442D40F3" w14:textId="77777777" w:rsidR="00B2203D" w:rsidRPr="002C7EAC" w:rsidRDefault="00B2203D" w:rsidP="00B2203D">
            <w:pPr>
              <w:rPr>
                <w:b/>
                <w:bCs/>
                <w:noProof/>
                <w:sz w:val="18"/>
                <w:szCs w:val="18"/>
              </w:rPr>
            </w:pPr>
          </w:p>
        </w:tc>
        <w:tc>
          <w:tcPr>
            <w:tcW w:w="7655" w:type="dxa"/>
            <w:shd w:val="clear" w:color="auto" w:fill="FFFFFF" w:themeFill="background1"/>
          </w:tcPr>
          <w:p w14:paraId="4C9C68DC" w14:textId="77777777" w:rsidR="00B2203D" w:rsidRPr="002C7EAC" w:rsidRDefault="00B2203D" w:rsidP="00B2203D">
            <w:pPr>
              <w:jc w:val="both"/>
              <w:rPr>
                <w:sz w:val="18"/>
                <w:szCs w:val="18"/>
              </w:rPr>
            </w:pPr>
            <w:r w:rsidRPr="002C7EAC">
              <w:rPr>
                <w:sz w:val="18"/>
                <w:szCs w:val="18"/>
              </w:rPr>
              <w:t xml:space="preserve">Acting for </w:t>
            </w:r>
            <w:r w:rsidRPr="002C7EAC">
              <w:rPr>
                <w:b/>
                <w:bCs/>
                <w:sz w:val="18"/>
                <w:szCs w:val="18"/>
              </w:rPr>
              <w:t>Credit Suisse</w:t>
            </w:r>
            <w:r w:rsidRPr="002C7EAC">
              <w:rPr>
                <w:sz w:val="18"/>
                <w:szCs w:val="18"/>
              </w:rPr>
              <w:t xml:space="preserve"> on the acquisition financing of </w:t>
            </w:r>
            <w:r w:rsidRPr="002C7EAC">
              <w:rPr>
                <w:b/>
                <w:bCs/>
                <w:sz w:val="18"/>
                <w:szCs w:val="18"/>
              </w:rPr>
              <w:t>Lexmark</w:t>
            </w:r>
            <w:r w:rsidRPr="002C7EAC">
              <w:rPr>
                <w:sz w:val="18"/>
                <w:szCs w:val="18"/>
              </w:rPr>
              <w:t xml:space="preserve">’s enterprise software business by </w:t>
            </w:r>
            <w:r w:rsidRPr="002C7EAC">
              <w:rPr>
                <w:b/>
                <w:bCs/>
                <w:sz w:val="18"/>
                <w:szCs w:val="18"/>
              </w:rPr>
              <w:t>Thoma Bravo</w:t>
            </w:r>
            <w:r w:rsidRPr="002C7EAC">
              <w:rPr>
                <w:sz w:val="18"/>
                <w:szCs w:val="18"/>
              </w:rPr>
              <w:t xml:space="preserve"> for US$1.5bn</w:t>
            </w:r>
          </w:p>
          <w:p w14:paraId="276F9EC8" w14:textId="77777777" w:rsidR="00B2203D" w:rsidRPr="002C7EAC" w:rsidRDefault="00B2203D" w:rsidP="00B2203D">
            <w:pPr>
              <w:jc w:val="both"/>
              <w:rPr>
                <w:sz w:val="18"/>
                <w:szCs w:val="18"/>
              </w:rPr>
            </w:pPr>
            <w:r w:rsidRPr="002C7EAC">
              <w:rPr>
                <w:sz w:val="18"/>
                <w:szCs w:val="18"/>
              </w:rPr>
              <w:t xml:space="preserve">Acting for unsecured creditors on the US$10 billion debt restructuring of </w:t>
            </w:r>
            <w:r w:rsidRPr="002C7EAC">
              <w:rPr>
                <w:b/>
                <w:bCs/>
                <w:sz w:val="18"/>
                <w:szCs w:val="18"/>
              </w:rPr>
              <w:t>Seadrill Ltd</w:t>
            </w:r>
            <w:r w:rsidRPr="002C7EAC">
              <w:rPr>
                <w:sz w:val="18"/>
                <w:szCs w:val="18"/>
              </w:rPr>
              <w:t>.</w:t>
            </w:r>
          </w:p>
          <w:p w14:paraId="002B36DA" w14:textId="77777777" w:rsidR="00B2203D" w:rsidRPr="002C7EAC" w:rsidRDefault="00B2203D" w:rsidP="00B2203D">
            <w:pPr>
              <w:jc w:val="both"/>
              <w:rPr>
                <w:sz w:val="18"/>
                <w:szCs w:val="18"/>
              </w:rPr>
            </w:pPr>
            <w:r w:rsidRPr="002C7EAC">
              <w:rPr>
                <w:sz w:val="18"/>
                <w:szCs w:val="18"/>
              </w:rPr>
              <w:t xml:space="preserve">Acting for </w:t>
            </w:r>
            <w:r w:rsidRPr="002C7EAC">
              <w:rPr>
                <w:b/>
                <w:bCs/>
                <w:sz w:val="18"/>
                <w:szCs w:val="18"/>
              </w:rPr>
              <w:t>Ineos PLC</w:t>
            </w:r>
            <w:r w:rsidRPr="002C7EAC">
              <w:rPr>
                <w:sz w:val="18"/>
                <w:szCs w:val="18"/>
              </w:rPr>
              <w:t xml:space="preserve"> on its US$1.1bn acquisition of </w:t>
            </w:r>
            <w:r w:rsidRPr="002C7EAC">
              <w:rPr>
                <w:b/>
                <w:bCs/>
                <w:sz w:val="18"/>
                <w:szCs w:val="18"/>
              </w:rPr>
              <w:t>Ashland Global Holdings</w:t>
            </w:r>
          </w:p>
          <w:p w14:paraId="14E3F4A8" w14:textId="77777777" w:rsidR="00B2203D" w:rsidRPr="002C7EAC" w:rsidRDefault="00B2203D" w:rsidP="00B2203D">
            <w:pPr>
              <w:jc w:val="both"/>
              <w:rPr>
                <w:sz w:val="18"/>
                <w:szCs w:val="18"/>
              </w:rPr>
            </w:pPr>
            <w:r w:rsidRPr="002C7EAC">
              <w:rPr>
                <w:sz w:val="18"/>
                <w:szCs w:val="18"/>
              </w:rPr>
              <w:t xml:space="preserve">Acting for </w:t>
            </w:r>
            <w:r w:rsidRPr="002C7EAC">
              <w:rPr>
                <w:b/>
                <w:bCs/>
                <w:sz w:val="18"/>
                <w:szCs w:val="18"/>
              </w:rPr>
              <w:t>UTI Worldwide, Inc</w:t>
            </w:r>
            <w:r w:rsidRPr="002C7EAC">
              <w:rPr>
                <w:sz w:val="18"/>
                <w:szCs w:val="18"/>
              </w:rPr>
              <w:t xml:space="preserve">. on its $1.6 billion takeover by </w:t>
            </w:r>
            <w:r w:rsidRPr="002C7EAC">
              <w:rPr>
                <w:b/>
                <w:bCs/>
                <w:sz w:val="18"/>
                <w:szCs w:val="18"/>
              </w:rPr>
              <w:t>DSV</w:t>
            </w:r>
            <w:r w:rsidRPr="002C7EAC">
              <w:rPr>
                <w:sz w:val="18"/>
                <w:szCs w:val="18"/>
              </w:rPr>
              <w:t>, one of the largest ever takeovers of a BVI company</w:t>
            </w:r>
          </w:p>
          <w:p w14:paraId="75B6061D" w14:textId="77777777" w:rsidR="00B2203D" w:rsidRDefault="00B2203D" w:rsidP="00B2203D">
            <w:pPr>
              <w:jc w:val="both"/>
              <w:rPr>
                <w:sz w:val="18"/>
                <w:szCs w:val="18"/>
              </w:rPr>
            </w:pPr>
            <w:r w:rsidRPr="002C7EAC">
              <w:rPr>
                <w:sz w:val="18"/>
                <w:szCs w:val="18"/>
              </w:rPr>
              <w:t xml:space="preserve">US$1.2 billion sale of </w:t>
            </w:r>
            <w:r w:rsidRPr="002C7EAC">
              <w:rPr>
                <w:b/>
                <w:bCs/>
                <w:sz w:val="18"/>
                <w:szCs w:val="18"/>
              </w:rPr>
              <w:t>EUROSET</w:t>
            </w:r>
            <w:r w:rsidRPr="002C7EAC">
              <w:rPr>
                <w:sz w:val="18"/>
                <w:szCs w:val="18"/>
              </w:rPr>
              <w:t>, Russia’s largest mobile telecommunications company</w:t>
            </w:r>
          </w:p>
          <w:p w14:paraId="6315737B" w14:textId="77777777" w:rsidR="00B2203D" w:rsidRPr="002C7EAC" w:rsidRDefault="00B2203D" w:rsidP="00B2203D">
            <w:pPr>
              <w:jc w:val="both"/>
              <w:rPr>
                <w:sz w:val="18"/>
                <w:szCs w:val="18"/>
              </w:rPr>
            </w:pPr>
            <w:r w:rsidRPr="002C7EAC">
              <w:rPr>
                <w:sz w:val="18"/>
                <w:szCs w:val="18"/>
              </w:rPr>
              <w:t xml:space="preserve">Acting for </w:t>
            </w:r>
            <w:r w:rsidRPr="002C7EAC">
              <w:rPr>
                <w:b/>
                <w:bCs/>
                <w:sz w:val="18"/>
                <w:szCs w:val="18"/>
              </w:rPr>
              <w:t>Orascom Construction Industries</w:t>
            </w:r>
            <w:r w:rsidRPr="002C7EAC">
              <w:rPr>
                <w:sz w:val="18"/>
                <w:szCs w:val="18"/>
              </w:rPr>
              <w:t xml:space="preserve"> on term loan facilities totalling us$2.2 billion with a syndicate of banks</w:t>
            </w:r>
          </w:p>
          <w:p w14:paraId="1721816C" w14:textId="6A4860CA" w:rsidR="00B2203D" w:rsidRPr="002C7EAC" w:rsidRDefault="00B2203D" w:rsidP="00B2203D">
            <w:pPr>
              <w:jc w:val="both"/>
              <w:rPr>
                <w:b/>
                <w:bCs/>
                <w:sz w:val="18"/>
                <w:szCs w:val="18"/>
              </w:rPr>
            </w:pPr>
          </w:p>
        </w:tc>
      </w:tr>
      <w:tr w:rsidR="00B2203D" w14:paraId="2DDD2DFC" w14:textId="77777777" w:rsidTr="1C3D44FE">
        <w:tblPrEx>
          <w:shd w:val="clear" w:color="auto" w:fill="D9D9D9" w:themeFill="background1" w:themeFillShade="D9"/>
        </w:tblPrEx>
        <w:trPr>
          <w:trHeight w:val="67"/>
        </w:trPr>
        <w:tc>
          <w:tcPr>
            <w:tcW w:w="1843" w:type="dxa"/>
            <w:shd w:val="clear" w:color="auto" w:fill="FFFFFF" w:themeFill="background1"/>
          </w:tcPr>
          <w:p w14:paraId="7AB90E44" w14:textId="574EE97E" w:rsidR="00B2203D" w:rsidRDefault="00B2203D" w:rsidP="00B2203D">
            <w:pPr>
              <w:rPr>
                <w:b/>
                <w:bCs/>
              </w:rPr>
            </w:pPr>
            <w:r>
              <w:rPr>
                <w:b/>
                <w:bCs/>
                <w:noProof/>
              </w:rPr>
              <w:drawing>
                <wp:inline distT="0" distB="0" distL="0" distR="0" wp14:anchorId="0FA0F727" wp14:editId="3423735D">
                  <wp:extent cx="849600" cy="169200"/>
                  <wp:effectExtent l="0" t="0" r="8255" b="254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lkers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9600" cy="169200"/>
                          </a:xfrm>
                          <a:prstGeom prst="rect">
                            <a:avLst/>
                          </a:prstGeom>
                        </pic:spPr>
                      </pic:pic>
                    </a:graphicData>
                  </a:graphic>
                </wp:inline>
              </w:drawing>
            </w:r>
          </w:p>
        </w:tc>
        <w:tc>
          <w:tcPr>
            <w:tcW w:w="7655" w:type="dxa"/>
            <w:shd w:val="clear" w:color="auto" w:fill="FFFFFF" w:themeFill="background1"/>
          </w:tcPr>
          <w:p w14:paraId="1A5CA01C" w14:textId="77777777" w:rsidR="00B2203D" w:rsidRPr="002C7EAC" w:rsidRDefault="00B2203D" w:rsidP="00B2203D">
            <w:pPr>
              <w:rPr>
                <w:b/>
                <w:bCs/>
                <w:sz w:val="18"/>
                <w:szCs w:val="18"/>
              </w:rPr>
            </w:pPr>
            <w:r w:rsidRPr="002C7EAC">
              <w:rPr>
                <w:b/>
                <w:bCs/>
                <w:sz w:val="18"/>
                <w:szCs w:val="18"/>
              </w:rPr>
              <w:t>Walkers, British Virgin Islands and Jersey, 2006-2011</w:t>
            </w:r>
          </w:p>
          <w:p w14:paraId="65ACB65E" w14:textId="62A48957" w:rsidR="00B2203D" w:rsidRPr="002C7EAC" w:rsidRDefault="00B2203D" w:rsidP="00B2203D">
            <w:pPr>
              <w:spacing w:after="120"/>
              <w:jc w:val="both"/>
              <w:rPr>
                <w:sz w:val="18"/>
                <w:szCs w:val="18"/>
              </w:rPr>
            </w:pPr>
            <w:r>
              <w:rPr>
                <w:sz w:val="18"/>
                <w:szCs w:val="18"/>
              </w:rPr>
              <w:t>I</w:t>
            </w:r>
            <w:r w:rsidRPr="002C7EAC">
              <w:rPr>
                <w:sz w:val="18"/>
                <w:szCs w:val="18"/>
              </w:rPr>
              <w:t xml:space="preserve"> moved to the British Virgin Islands in 2006 on what was intended to be a 2-year adventure. However, the move offshore with Walkers</w:t>
            </w:r>
            <w:r>
              <w:rPr>
                <w:sz w:val="18"/>
                <w:szCs w:val="18"/>
              </w:rPr>
              <w:t xml:space="preserve"> to join their corporate and finance team in BVI</w:t>
            </w:r>
            <w:r w:rsidRPr="002C7EAC">
              <w:rPr>
                <w:sz w:val="18"/>
                <w:szCs w:val="18"/>
              </w:rPr>
              <w:t xml:space="preserve"> was very successful and </w:t>
            </w:r>
            <w:r>
              <w:rPr>
                <w:sz w:val="18"/>
                <w:szCs w:val="18"/>
              </w:rPr>
              <w:t>I</w:t>
            </w:r>
            <w:r w:rsidRPr="002C7EAC">
              <w:rPr>
                <w:sz w:val="18"/>
                <w:szCs w:val="18"/>
              </w:rPr>
              <w:t xml:space="preserve"> built a thriving book of business with major international clients, resulting in first moving from the BVI to Jersey in 2010 to co-found Walkers’ Russia, CIS and CEE team and then to being asked to join Harneys in 2011 (see above).</w:t>
            </w:r>
          </w:p>
        </w:tc>
      </w:tr>
      <w:tr w:rsidR="00B2203D" w14:paraId="1F08E9AD" w14:textId="77777777" w:rsidTr="1C3D44FE">
        <w:tblPrEx>
          <w:shd w:val="clear" w:color="auto" w:fill="D9D9D9" w:themeFill="background1" w:themeFillShade="D9"/>
        </w:tblPrEx>
        <w:trPr>
          <w:trHeight w:val="67"/>
        </w:trPr>
        <w:tc>
          <w:tcPr>
            <w:tcW w:w="1843" w:type="dxa"/>
            <w:shd w:val="clear" w:color="auto" w:fill="FFFFFF" w:themeFill="background1"/>
          </w:tcPr>
          <w:p w14:paraId="4E187E3D" w14:textId="77DF68BC" w:rsidR="00B2203D" w:rsidRPr="002C7EAC" w:rsidRDefault="00B2203D" w:rsidP="00B2203D">
            <w:pPr>
              <w:spacing w:after="240"/>
              <w:rPr>
                <w:b/>
                <w:bCs/>
                <w:noProof/>
                <w:sz w:val="20"/>
                <w:szCs w:val="20"/>
              </w:rPr>
            </w:pPr>
            <w:r w:rsidRPr="002C7EAC">
              <w:rPr>
                <w:b/>
                <w:bCs/>
                <w:noProof/>
                <w:sz w:val="18"/>
                <w:szCs w:val="18"/>
              </w:rPr>
              <w:t>Transaction Highlights</w:t>
            </w:r>
          </w:p>
        </w:tc>
        <w:tc>
          <w:tcPr>
            <w:tcW w:w="7655" w:type="dxa"/>
            <w:shd w:val="clear" w:color="auto" w:fill="FFFFFF" w:themeFill="background1"/>
          </w:tcPr>
          <w:p w14:paraId="5F83BDD3" w14:textId="77777777" w:rsidR="00B2203D" w:rsidRPr="002C7EAC" w:rsidRDefault="00B2203D" w:rsidP="00B2203D">
            <w:pPr>
              <w:jc w:val="both"/>
              <w:rPr>
                <w:sz w:val="18"/>
                <w:szCs w:val="18"/>
              </w:rPr>
            </w:pPr>
            <w:r w:rsidRPr="002C7EAC">
              <w:rPr>
                <w:sz w:val="18"/>
                <w:szCs w:val="18"/>
              </w:rPr>
              <w:t xml:space="preserve">Acting for </w:t>
            </w:r>
            <w:r w:rsidRPr="002C7EAC">
              <w:rPr>
                <w:b/>
                <w:bCs/>
                <w:sz w:val="18"/>
                <w:szCs w:val="18"/>
              </w:rPr>
              <w:t>GLG Partners, Inc.</w:t>
            </w:r>
            <w:r w:rsidRPr="002C7EAC">
              <w:rPr>
                <w:sz w:val="18"/>
                <w:szCs w:val="18"/>
              </w:rPr>
              <w:t xml:space="preserve"> on its US$3.4 billion reverse takeover by </w:t>
            </w:r>
            <w:r w:rsidRPr="002C7EAC">
              <w:rPr>
                <w:b/>
                <w:bCs/>
                <w:sz w:val="18"/>
                <w:szCs w:val="18"/>
              </w:rPr>
              <w:t>Freedom Acquisition Holdings Limited</w:t>
            </w:r>
            <w:r w:rsidRPr="002C7EAC">
              <w:rPr>
                <w:sz w:val="18"/>
                <w:szCs w:val="18"/>
              </w:rPr>
              <w:t xml:space="preserve"> and admission to the New York Stock Exchange</w:t>
            </w:r>
          </w:p>
          <w:p w14:paraId="5C163C2A" w14:textId="77777777" w:rsidR="00B2203D" w:rsidRPr="002C7EAC" w:rsidRDefault="00B2203D" w:rsidP="00B2203D">
            <w:pPr>
              <w:jc w:val="both"/>
              <w:rPr>
                <w:sz w:val="18"/>
                <w:szCs w:val="18"/>
              </w:rPr>
            </w:pPr>
            <w:r w:rsidRPr="002C7EAC">
              <w:rPr>
                <w:sz w:val="18"/>
                <w:szCs w:val="18"/>
              </w:rPr>
              <w:t xml:space="preserve">Acting for </w:t>
            </w:r>
            <w:r w:rsidRPr="002C7EAC">
              <w:rPr>
                <w:b/>
                <w:bCs/>
                <w:sz w:val="18"/>
                <w:szCs w:val="18"/>
              </w:rPr>
              <w:t>GLG Partners, Inc.</w:t>
            </w:r>
            <w:r w:rsidRPr="002C7EAC">
              <w:rPr>
                <w:sz w:val="18"/>
                <w:szCs w:val="18"/>
              </w:rPr>
              <w:t xml:space="preserve"> on its US$1.6 billion merger with </w:t>
            </w:r>
            <w:r w:rsidRPr="002C7EAC">
              <w:rPr>
                <w:b/>
                <w:bCs/>
                <w:sz w:val="18"/>
                <w:szCs w:val="18"/>
              </w:rPr>
              <w:t>Man Group plc</w:t>
            </w:r>
          </w:p>
          <w:p w14:paraId="05BFDB40" w14:textId="72E10C0B" w:rsidR="00B2203D" w:rsidRPr="002C7EAC" w:rsidRDefault="00B2203D" w:rsidP="00B2203D">
            <w:pPr>
              <w:jc w:val="both"/>
              <w:rPr>
                <w:sz w:val="18"/>
                <w:szCs w:val="18"/>
              </w:rPr>
            </w:pPr>
            <w:r w:rsidRPr="002C7EAC">
              <w:rPr>
                <w:sz w:val="18"/>
                <w:szCs w:val="18"/>
              </w:rPr>
              <w:t xml:space="preserve">Acting for </w:t>
            </w:r>
            <w:r w:rsidRPr="002C7EAC">
              <w:rPr>
                <w:b/>
                <w:bCs/>
                <w:sz w:val="18"/>
                <w:szCs w:val="18"/>
              </w:rPr>
              <w:t>Rio Tinto Group</w:t>
            </w:r>
            <w:r w:rsidRPr="002C7EAC">
              <w:rPr>
                <w:sz w:val="18"/>
                <w:szCs w:val="18"/>
              </w:rPr>
              <w:t xml:space="preserve"> on its disposal of the Corumba iron ore project in Brazil and related logistics operations within South America to </w:t>
            </w:r>
            <w:r w:rsidRPr="002C7EAC">
              <w:rPr>
                <w:b/>
                <w:bCs/>
                <w:sz w:val="18"/>
                <w:szCs w:val="18"/>
              </w:rPr>
              <w:t>Vale</w:t>
            </w:r>
            <w:r w:rsidRPr="002C7EAC">
              <w:rPr>
                <w:sz w:val="18"/>
                <w:szCs w:val="18"/>
              </w:rPr>
              <w:t xml:space="preserve"> for US$1.6 billion</w:t>
            </w:r>
          </w:p>
          <w:p w14:paraId="1CAFCAEF" w14:textId="2F2A7105" w:rsidR="00B2203D" w:rsidRPr="002C7EAC" w:rsidRDefault="00B2203D" w:rsidP="00B2203D">
            <w:pPr>
              <w:spacing w:after="120"/>
              <w:jc w:val="both"/>
              <w:rPr>
                <w:b/>
                <w:bCs/>
                <w:sz w:val="18"/>
                <w:szCs w:val="18"/>
              </w:rPr>
            </w:pPr>
            <w:r w:rsidRPr="002C7EAC">
              <w:rPr>
                <w:sz w:val="18"/>
                <w:szCs w:val="18"/>
              </w:rPr>
              <w:t xml:space="preserve">Acting for </w:t>
            </w:r>
            <w:r w:rsidRPr="002C7EAC">
              <w:rPr>
                <w:b/>
                <w:bCs/>
                <w:sz w:val="18"/>
                <w:szCs w:val="18"/>
              </w:rPr>
              <w:t>Transocean Pacific Drilling, Inc.</w:t>
            </w:r>
            <w:r w:rsidRPr="002C7EAC">
              <w:rPr>
                <w:sz w:val="18"/>
                <w:szCs w:val="18"/>
              </w:rPr>
              <w:t>, a Company listed on the New York Stock Exchange, on a secured loan facility in the amount of US$1.265 billion to finance the construction and delivery of two drillships.</w:t>
            </w:r>
          </w:p>
        </w:tc>
      </w:tr>
      <w:tr w:rsidR="00B2203D" w:rsidRPr="00CF5AE8" w14:paraId="4EDADBC2" w14:textId="77777777" w:rsidTr="1C3D44FE">
        <w:tblPrEx>
          <w:shd w:val="clear" w:color="auto" w:fill="D9D9D9" w:themeFill="background1" w:themeFillShade="D9"/>
        </w:tblPrEx>
        <w:trPr>
          <w:trHeight w:val="902"/>
        </w:trPr>
        <w:tc>
          <w:tcPr>
            <w:tcW w:w="1843" w:type="dxa"/>
            <w:shd w:val="clear" w:color="auto" w:fill="FFFFFF" w:themeFill="background1"/>
          </w:tcPr>
          <w:p w14:paraId="3342AF82" w14:textId="097B661C" w:rsidR="00B2203D" w:rsidRPr="00CF5AE8" w:rsidRDefault="00B2203D" w:rsidP="00B2203D">
            <w:pPr>
              <w:rPr>
                <w:b/>
                <w:bCs/>
                <w:noProof/>
                <w:sz w:val="20"/>
                <w:szCs w:val="20"/>
              </w:rPr>
            </w:pPr>
            <w:r>
              <w:rPr>
                <w:b/>
                <w:bCs/>
                <w:noProof/>
                <w:sz w:val="20"/>
                <w:szCs w:val="20"/>
              </w:rPr>
              <w:lastRenderedPageBreak/>
              <w:drawing>
                <wp:inline distT="0" distB="0" distL="0" distR="0" wp14:anchorId="5E08E3B0" wp14:editId="6FD4865A">
                  <wp:extent cx="685800" cy="6343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m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707" cy="638904"/>
                          </a:xfrm>
                          <a:prstGeom prst="rect">
                            <a:avLst/>
                          </a:prstGeom>
                        </pic:spPr>
                      </pic:pic>
                    </a:graphicData>
                  </a:graphic>
                </wp:inline>
              </w:drawing>
            </w:r>
          </w:p>
        </w:tc>
        <w:tc>
          <w:tcPr>
            <w:tcW w:w="7655" w:type="dxa"/>
            <w:shd w:val="clear" w:color="auto" w:fill="FFFFFF" w:themeFill="background1"/>
          </w:tcPr>
          <w:p w14:paraId="40909268" w14:textId="77777777" w:rsidR="00B2203D" w:rsidRPr="002C7EAC" w:rsidRDefault="00B2203D" w:rsidP="00B2203D">
            <w:pPr>
              <w:spacing w:before="120"/>
              <w:rPr>
                <w:b/>
                <w:bCs/>
                <w:sz w:val="18"/>
                <w:szCs w:val="18"/>
              </w:rPr>
            </w:pPr>
            <w:r w:rsidRPr="002C7EAC">
              <w:rPr>
                <w:b/>
                <w:bCs/>
                <w:sz w:val="18"/>
                <w:szCs w:val="18"/>
              </w:rPr>
              <w:t>CMS Cameron McKenna, London 2001-2006</w:t>
            </w:r>
          </w:p>
          <w:p w14:paraId="2053EDEA" w14:textId="6DC1FAFC" w:rsidR="00B2203D" w:rsidRPr="002C7EAC" w:rsidRDefault="00B2203D" w:rsidP="00B2203D">
            <w:pPr>
              <w:spacing w:after="120"/>
              <w:jc w:val="both"/>
              <w:rPr>
                <w:b/>
                <w:bCs/>
                <w:sz w:val="18"/>
                <w:szCs w:val="18"/>
              </w:rPr>
            </w:pPr>
            <w:r>
              <w:rPr>
                <w:sz w:val="18"/>
                <w:szCs w:val="18"/>
              </w:rPr>
              <w:t>I</w:t>
            </w:r>
            <w:r w:rsidRPr="002C7EAC">
              <w:rPr>
                <w:sz w:val="18"/>
                <w:szCs w:val="18"/>
              </w:rPr>
              <w:t xml:space="preserve"> trained as a solicitor at CMS, now the world’s largest law firm. </w:t>
            </w:r>
            <w:r>
              <w:rPr>
                <w:sz w:val="18"/>
                <w:szCs w:val="18"/>
              </w:rPr>
              <w:t>I</w:t>
            </w:r>
            <w:r w:rsidRPr="002C7EAC">
              <w:rPr>
                <w:sz w:val="18"/>
                <w:szCs w:val="18"/>
              </w:rPr>
              <w:t xml:space="preserve"> joined the corporate department where </w:t>
            </w:r>
            <w:r>
              <w:rPr>
                <w:sz w:val="18"/>
                <w:szCs w:val="18"/>
              </w:rPr>
              <w:t>I</w:t>
            </w:r>
            <w:r w:rsidRPr="002C7EAC">
              <w:rPr>
                <w:sz w:val="18"/>
                <w:szCs w:val="18"/>
              </w:rPr>
              <w:t xml:space="preserve"> worked on </w:t>
            </w:r>
            <w:r>
              <w:rPr>
                <w:sz w:val="18"/>
                <w:szCs w:val="18"/>
              </w:rPr>
              <w:t>many</w:t>
            </w:r>
            <w:r w:rsidRPr="002C7EAC">
              <w:rPr>
                <w:sz w:val="18"/>
                <w:szCs w:val="18"/>
              </w:rPr>
              <w:t xml:space="preserve"> of the firm’s key client accounts, including National Grid, Enterprise Inns and Nomura (see below).</w:t>
            </w:r>
          </w:p>
        </w:tc>
      </w:tr>
      <w:tr w:rsidR="00B2203D" w14:paraId="5B4A1F1D" w14:textId="77777777" w:rsidTr="1C3D44FE">
        <w:tblPrEx>
          <w:shd w:val="clear" w:color="auto" w:fill="D9D9D9" w:themeFill="background1" w:themeFillShade="D9"/>
        </w:tblPrEx>
        <w:trPr>
          <w:trHeight w:val="962"/>
        </w:trPr>
        <w:tc>
          <w:tcPr>
            <w:tcW w:w="1843" w:type="dxa"/>
            <w:shd w:val="clear" w:color="auto" w:fill="FFFFFF" w:themeFill="background1"/>
          </w:tcPr>
          <w:p w14:paraId="454C42B5" w14:textId="518A5A5D" w:rsidR="00B2203D" w:rsidRDefault="00B2203D" w:rsidP="00B2203D">
            <w:pPr>
              <w:rPr>
                <w:b/>
                <w:bCs/>
                <w:noProof/>
              </w:rPr>
            </w:pPr>
            <w:r w:rsidRPr="002C7EAC">
              <w:rPr>
                <w:b/>
                <w:bCs/>
                <w:sz w:val="18"/>
                <w:szCs w:val="18"/>
              </w:rPr>
              <w:t>Transaction Highlights:</w:t>
            </w:r>
          </w:p>
        </w:tc>
        <w:tc>
          <w:tcPr>
            <w:tcW w:w="7655" w:type="dxa"/>
            <w:shd w:val="clear" w:color="auto" w:fill="FFFFFF" w:themeFill="background1"/>
          </w:tcPr>
          <w:p w14:paraId="63E2C04A" w14:textId="77777777" w:rsidR="00B2203D" w:rsidRPr="002C7EAC" w:rsidRDefault="00B2203D" w:rsidP="00B2203D">
            <w:pPr>
              <w:jc w:val="both"/>
              <w:rPr>
                <w:sz w:val="18"/>
                <w:szCs w:val="18"/>
              </w:rPr>
            </w:pPr>
            <w:r w:rsidRPr="002C7EAC">
              <w:rPr>
                <w:sz w:val="18"/>
                <w:szCs w:val="18"/>
              </w:rPr>
              <w:t xml:space="preserve">Advising </w:t>
            </w:r>
            <w:r w:rsidRPr="002C7EAC">
              <w:rPr>
                <w:b/>
                <w:bCs/>
                <w:sz w:val="18"/>
                <w:szCs w:val="18"/>
              </w:rPr>
              <w:t>National Grid Plc</w:t>
            </w:r>
            <w:r w:rsidRPr="002C7EAC">
              <w:rPr>
                <w:sz w:val="18"/>
                <w:szCs w:val="18"/>
              </w:rPr>
              <w:t xml:space="preserve"> on the sale of UK gas distribution networks for £5.75bn</w:t>
            </w:r>
          </w:p>
          <w:p w14:paraId="0CF7D212" w14:textId="77777777" w:rsidR="00B2203D" w:rsidRPr="002C7EAC" w:rsidRDefault="00B2203D" w:rsidP="00B2203D">
            <w:pPr>
              <w:jc w:val="both"/>
              <w:rPr>
                <w:sz w:val="18"/>
                <w:szCs w:val="18"/>
              </w:rPr>
            </w:pPr>
            <w:r w:rsidRPr="002C7EAC">
              <w:rPr>
                <w:sz w:val="18"/>
                <w:szCs w:val="18"/>
              </w:rPr>
              <w:t xml:space="preserve">Advising </w:t>
            </w:r>
            <w:r w:rsidRPr="002C7EAC">
              <w:rPr>
                <w:b/>
                <w:bCs/>
                <w:sz w:val="18"/>
                <w:szCs w:val="18"/>
              </w:rPr>
              <w:t>Enterprise Inns Plc</w:t>
            </w:r>
            <w:r w:rsidRPr="002C7EAC">
              <w:rPr>
                <w:sz w:val="18"/>
                <w:szCs w:val="18"/>
              </w:rPr>
              <w:t xml:space="preserve"> on the Acquisition of the Unique Pub Company for £2.3bn</w:t>
            </w:r>
          </w:p>
          <w:p w14:paraId="19A7F40C" w14:textId="2B53ACCE" w:rsidR="00B2203D" w:rsidRPr="002C7EAC" w:rsidRDefault="00B2203D" w:rsidP="00B2203D">
            <w:pPr>
              <w:jc w:val="both"/>
              <w:rPr>
                <w:b/>
                <w:bCs/>
                <w:sz w:val="18"/>
                <w:szCs w:val="18"/>
              </w:rPr>
            </w:pPr>
            <w:r w:rsidRPr="002C7EAC">
              <w:rPr>
                <w:sz w:val="18"/>
                <w:szCs w:val="18"/>
              </w:rPr>
              <w:t xml:space="preserve">Advising </w:t>
            </w:r>
            <w:r w:rsidRPr="002C7EAC">
              <w:rPr>
                <w:b/>
                <w:bCs/>
                <w:sz w:val="18"/>
                <w:szCs w:val="18"/>
              </w:rPr>
              <w:t>National Grid Plc</w:t>
            </w:r>
            <w:r w:rsidRPr="002C7EAC">
              <w:rPr>
                <w:sz w:val="18"/>
                <w:szCs w:val="18"/>
              </w:rPr>
              <w:t xml:space="preserve"> and </w:t>
            </w:r>
            <w:r w:rsidRPr="002C7EAC">
              <w:rPr>
                <w:b/>
                <w:bCs/>
                <w:sz w:val="18"/>
                <w:szCs w:val="18"/>
              </w:rPr>
              <w:t>Duke Energy</w:t>
            </w:r>
            <w:r w:rsidRPr="002C7EAC">
              <w:rPr>
                <w:sz w:val="18"/>
                <w:szCs w:val="18"/>
              </w:rPr>
              <w:t xml:space="preserve"> on the disposal of their interests in </w:t>
            </w:r>
            <w:r w:rsidRPr="002C7EAC">
              <w:rPr>
                <w:b/>
                <w:bCs/>
                <w:sz w:val="18"/>
                <w:szCs w:val="18"/>
              </w:rPr>
              <w:t>Copperbelt Energy Corporation Plc</w:t>
            </w:r>
            <w:r w:rsidRPr="002C7EAC">
              <w:rPr>
                <w:sz w:val="18"/>
                <w:szCs w:val="18"/>
              </w:rPr>
              <w:t>, Zambia's privatised electricity transmission and distribution company</w:t>
            </w:r>
          </w:p>
        </w:tc>
      </w:tr>
      <w:tr w:rsidR="00B2203D" w14:paraId="5BEDF0D5" w14:textId="77777777" w:rsidTr="1C3D44FE">
        <w:tblPrEx>
          <w:shd w:val="clear" w:color="auto" w:fill="D9D9D9" w:themeFill="background1" w:themeFillShade="D9"/>
        </w:tblPrEx>
        <w:trPr>
          <w:trHeight w:val="67"/>
        </w:trPr>
        <w:tc>
          <w:tcPr>
            <w:tcW w:w="1843" w:type="dxa"/>
            <w:shd w:val="clear" w:color="auto" w:fill="FFFFFF" w:themeFill="background1"/>
          </w:tcPr>
          <w:p w14:paraId="6CC65448" w14:textId="1BFCFBCC" w:rsidR="00B2203D" w:rsidRDefault="00B2203D" w:rsidP="00B2203D">
            <w:pPr>
              <w:spacing w:after="240"/>
              <w:rPr>
                <w:b/>
                <w:bCs/>
              </w:rPr>
            </w:pPr>
            <w:r>
              <w:rPr>
                <w:b/>
                <w:bCs/>
                <w:noProof/>
              </w:rPr>
              <w:drawing>
                <wp:inline distT="0" distB="0" distL="0" distR="0" wp14:anchorId="535472C9" wp14:editId="710796B1">
                  <wp:extent cx="463550" cy="46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mura.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660" cy="463660"/>
                          </a:xfrm>
                          <a:prstGeom prst="rect">
                            <a:avLst/>
                          </a:prstGeom>
                        </pic:spPr>
                      </pic:pic>
                    </a:graphicData>
                  </a:graphic>
                </wp:inline>
              </w:drawing>
            </w:r>
          </w:p>
        </w:tc>
        <w:tc>
          <w:tcPr>
            <w:tcW w:w="7655" w:type="dxa"/>
            <w:shd w:val="clear" w:color="auto" w:fill="FFFFFF" w:themeFill="background1"/>
          </w:tcPr>
          <w:p w14:paraId="180D5005" w14:textId="77777777" w:rsidR="00B2203D" w:rsidRPr="002C7EAC" w:rsidRDefault="00B2203D" w:rsidP="00B2203D">
            <w:pPr>
              <w:rPr>
                <w:b/>
                <w:bCs/>
                <w:sz w:val="18"/>
                <w:szCs w:val="18"/>
              </w:rPr>
            </w:pPr>
            <w:r w:rsidRPr="002C7EAC">
              <w:rPr>
                <w:b/>
                <w:bCs/>
                <w:sz w:val="18"/>
                <w:szCs w:val="18"/>
              </w:rPr>
              <w:t>Nomura Code Securities Limited, 2005</w:t>
            </w:r>
          </w:p>
          <w:p w14:paraId="1939DD5D" w14:textId="69EE76A0" w:rsidR="00B2203D" w:rsidRPr="002C7EAC" w:rsidRDefault="00B2203D" w:rsidP="00B2203D">
            <w:pPr>
              <w:spacing w:after="120"/>
              <w:jc w:val="both"/>
              <w:rPr>
                <w:b/>
                <w:bCs/>
                <w:sz w:val="18"/>
                <w:szCs w:val="18"/>
              </w:rPr>
            </w:pPr>
            <w:r>
              <w:rPr>
                <w:sz w:val="18"/>
                <w:szCs w:val="18"/>
              </w:rPr>
              <w:t>I</w:t>
            </w:r>
            <w:r w:rsidRPr="002C7EAC">
              <w:rPr>
                <w:sz w:val="18"/>
                <w:szCs w:val="18"/>
              </w:rPr>
              <w:t xml:space="preserve"> spent a year on client secondment in </w:t>
            </w:r>
            <w:r w:rsidRPr="005243F5">
              <w:rPr>
                <w:b/>
                <w:bCs/>
                <w:sz w:val="18"/>
                <w:szCs w:val="18"/>
              </w:rPr>
              <w:t>Nomura</w:t>
            </w:r>
            <w:r w:rsidRPr="002C7EAC">
              <w:rPr>
                <w:sz w:val="18"/>
                <w:szCs w:val="18"/>
              </w:rPr>
              <w:t xml:space="preserve">’s biotech and cleantech corporate finance team, with the prime goal being to assist </w:t>
            </w:r>
            <w:r w:rsidRPr="005243F5">
              <w:rPr>
                <w:b/>
                <w:bCs/>
                <w:sz w:val="18"/>
                <w:szCs w:val="18"/>
              </w:rPr>
              <w:t>Nomura</w:t>
            </w:r>
            <w:r w:rsidRPr="002C7EAC">
              <w:rPr>
                <w:sz w:val="18"/>
                <w:szCs w:val="18"/>
              </w:rPr>
              <w:t xml:space="preserve"> on the £215 million IPO</w:t>
            </w:r>
            <w:r>
              <w:rPr>
                <w:sz w:val="18"/>
                <w:szCs w:val="18"/>
              </w:rPr>
              <w:t xml:space="preserve"> </w:t>
            </w:r>
            <w:r w:rsidRPr="002C7EAC">
              <w:rPr>
                <w:sz w:val="18"/>
                <w:szCs w:val="18"/>
              </w:rPr>
              <w:t>of</w:t>
            </w:r>
            <w:r>
              <w:rPr>
                <w:sz w:val="18"/>
                <w:szCs w:val="18"/>
              </w:rPr>
              <w:t xml:space="preserve"> </w:t>
            </w:r>
            <w:proofErr w:type="spellStart"/>
            <w:r w:rsidRPr="002C7EAC">
              <w:rPr>
                <w:b/>
                <w:bCs/>
                <w:sz w:val="18"/>
                <w:szCs w:val="18"/>
              </w:rPr>
              <w:t>Agcert</w:t>
            </w:r>
            <w:proofErr w:type="spellEnd"/>
            <w:r w:rsidRPr="002C7EAC">
              <w:rPr>
                <w:b/>
                <w:bCs/>
                <w:sz w:val="18"/>
                <w:szCs w:val="18"/>
              </w:rPr>
              <w:t xml:space="preserve"> International Limited</w:t>
            </w:r>
            <w:r w:rsidRPr="002C7EAC">
              <w:rPr>
                <w:sz w:val="18"/>
                <w:szCs w:val="18"/>
              </w:rPr>
              <w:t xml:space="preserve"> on </w:t>
            </w:r>
            <w:r>
              <w:rPr>
                <w:sz w:val="18"/>
                <w:szCs w:val="18"/>
              </w:rPr>
              <w:t>t</w:t>
            </w:r>
            <w:r w:rsidRPr="002C7EAC">
              <w:rPr>
                <w:sz w:val="18"/>
                <w:szCs w:val="18"/>
              </w:rPr>
              <w:t>he London Stock Exchange, the first IPO of a cleantech company specialising in carbon credits.</w:t>
            </w:r>
          </w:p>
        </w:tc>
      </w:tr>
      <w:tr w:rsidR="00B2203D" w14:paraId="548A3DBB" w14:textId="77777777" w:rsidTr="1C3D44FE">
        <w:tblPrEx>
          <w:shd w:val="clear" w:color="auto" w:fill="D9D9D9" w:themeFill="background1" w:themeFillShade="D9"/>
        </w:tblPrEx>
        <w:trPr>
          <w:trHeight w:val="67"/>
        </w:trPr>
        <w:tc>
          <w:tcPr>
            <w:tcW w:w="1843" w:type="dxa"/>
            <w:shd w:val="clear" w:color="auto" w:fill="FFFFFF" w:themeFill="background1"/>
          </w:tcPr>
          <w:p w14:paraId="2FB643DE" w14:textId="650D6043" w:rsidR="00B2203D" w:rsidRDefault="00B2203D" w:rsidP="00B2203D">
            <w:pPr>
              <w:spacing w:after="120"/>
              <w:rPr>
                <w:b/>
                <w:bCs/>
                <w:noProof/>
              </w:rPr>
            </w:pPr>
            <w:r>
              <w:rPr>
                <w:b/>
                <w:bCs/>
                <w:noProof/>
              </w:rPr>
              <w:drawing>
                <wp:inline distT="0" distB="0" distL="0" distR="0" wp14:anchorId="4D32CF0B" wp14:editId="4A3DFB45">
                  <wp:extent cx="463550" cy="46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llcome trust.jf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3660" cy="463660"/>
                          </a:xfrm>
                          <a:prstGeom prst="rect">
                            <a:avLst/>
                          </a:prstGeom>
                        </pic:spPr>
                      </pic:pic>
                    </a:graphicData>
                  </a:graphic>
                </wp:inline>
              </w:drawing>
            </w:r>
          </w:p>
        </w:tc>
        <w:tc>
          <w:tcPr>
            <w:tcW w:w="7655" w:type="dxa"/>
            <w:shd w:val="clear" w:color="auto" w:fill="FFFFFF" w:themeFill="background1"/>
          </w:tcPr>
          <w:p w14:paraId="434F81BE" w14:textId="77777777" w:rsidR="00B2203D" w:rsidRPr="002C7EAC" w:rsidRDefault="00B2203D" w:rsidP="00B2203D">
            <w:pPr>
              <w:rPr>
                <w:b/>
                <w:bCs/>
                <w:sz w:val="18"/>
                <w:szCs w:val="18"/>
              </w:rPr>
            </w:pPr>
            <w:r w:rsidRPr="002C7EAC">
              <w:rPr>
                <w:b/>
                <w:bCs/>
                <w:sz w:val="18"/>
                <w:szCs w:val="18"/>
              </w:rPr>
              <w:t xml:space="preserve">The </w:t>
            </w:r>
            <w:proofErr w:type="spellStart"/>
            <w:r w:rsidRPr="002C7EAC">
              <w:rPr>
                <w:b/>
                <w:bCs/>
                <w:sz w:val="18"/>
                <w:szCs w:val="18"/>
              </w:rPr>
              <w:t>Wellcome</w:t>
            </w:r>
            <w:proofErr w:type="spellEnd"/>
            <w:r w:rsidRPr="002C7EAC">
              <w:rPr>
                <w:b/>
                <w:bCs/>
                <w:sz w:val="18"/>
                <w:szCs w:val="18"/>
              </w:rPr>
              <w:t xml:space="preserve"> Trust, 2003</w:t>
            </w:r>
          </w:p>
          <w:p w14:paraId="7E566C6B" w14:textId="5C41DD58" w:rsidR="00B2203D" w:rsidRPr="002C7EAC" w:rsidRDefault="00B2203D" w:rsidP="00B2203D">
            <w:pPr>
              <w:spacing w:after="240"/>
              <w:rPr>
                <w:sz w:val="18"/>
                <w:szCs w:val="18"/>
              </w:rPr>
            </w:pPr>
            <w:r>
              <w:rPr>
                <w:sz w:val="18"/>
                <w:szCs w:val="18"/>
              </w:rPr>
              <w:t>I</w:t>
            </w:r>
            <w:r w:rsidRPr="002C7EAC">
              <w:rPr>
                <w:sz w:val="18"/>
                <w:szCs w:val="18"/>
              </w:rPr>
              <w:t xml:space="preserve"> spent 7 months on client secondment in the technology transfer team at The </w:t>
            </w:r>
            <w:proofErr w:type="spellStart"/>
            <w:r w:rsidRPr="002C7EAC">
              <w:rPr>
                <w:sz w:val="18"/>
                <w:szCs w:val="18"/>
              </w:rPr>
              <w:t>Wellcome</w:t>
            </w:r>
            <w:proofErr w:type="spellEnd"/>
            <w:r w:rsidRPr="002C7EAC">
              <w:rPr>
                <w:sz w:val="18"/>
                <w:szCs w:val="18"/>
              </w:rPr>
              <w:t xml:space="preserve"> Trust, then the world’s largest medical research charity.</w:t>
            </w:r>
          </w:p>
        </w:tc>
      </w:tr>
    </w:tbl>
    <w:tbl>
      <w:tblPr>
        <w:tblW w:w="9498" w:type="dxa"/>
        <w:tblInd w:w="-284" w:type="dxa"/>
        <w:tblLook w:val="0000" w:firstRow="0" w:lastRow="0" w:firstColumn="0" w:lastColumn="0" w:noHBand="0" w:noVBand="0"/>
      </w:tblPr>
      <w:tblGrid>
        <w:gridCol w:w="2127"/>
        <w:gridCol w:w="7371"/>
      </w:tblGrid>
      <w:tr w:rsidR="00B51603" w:rsidRPr="007D6C61" w14:paraId="4E60934E" w14:textId="77777777" w:rsidTr="00C05B8F">
        <w:tc>
          <w:tcPr>
            <w:tcW w:w="9498" w:type="dxa"/>
            <w:gridSpan w:val="2"/>
            <w:shd w:val="clear" w:color="auto" w:fill="D9D9D9" w:themeFill="background1" w:themeFillShade="D9"/>
          </w:tcPr>
          <w:p w14:paraId="6D00AFAE" w14:textId="77777777" w:rsidR="00B51603" w:rsidRPr="007D6C61" w:rsidRDefault="00B51603" w:rsidP="00E52E9D">
            <w:pPr>
              <w:pStyle w:val="ListNumber"/>
              <w:numPr>
                <w:ilvl w:val="0"/>
                <w:numId w:val="0"/>
              </w:numPr>
              <w:rPr>
                <w:rFonts w:asciiTheme="minorHAnsi" w:hAnsiTheme="minorHAnsi" w:cstheme="minorHAnsi"/>
                <w:bCs/>
                <w:smallCaps/>
                <w:sz w:val="20"/>
                <w:szCs w:val="20"/>
              </w:rPr>
            </w:pPr>
            <w:r w:rsidRPr="007D6C61">
              <w:rPr>
                <w:rFonts w:asciiTheme="minorHAnsi" w:hAnsiTheme="minorHAnsi" w:cstheme="minorHAnsi"/>
                <w:b/>
                <w:smallCaps/>
                <w:sz w:val="20"/>
                <w:szCs w:val="20"/>
              </w:rPr>
              <w:t>AWARDS AND RECOGNITION</w:t>
            </w:r>
          </w:p>
        </w:tc>
      </w:tr>
      <w:tr w:rsidR="00B51603" w:rsidRPr="007D6C61" w14:paraId="386D67F7" w14:textId="77777777" w:rsidTr="00C05B8F">
        <w:tc>
          <w:tcPr>
            <w:tcW w:w="2127" w:type="dxa"/>
          </w:tcPr>
          <w:p w14:paraId="6A000328" w14:textId="77777777" w:rsidR="00B51603" w:rsidRPr="0097007F" w:rsidRDefault="00B51603" w:rsidP="00E52E9D">
            <w:pPr>
              <w:spacing w:before="120" w:after="0"/>
              <w:rPr>
                <w:b/>
                <w:bCs/>
                <w:sz w:val="18"/>
                <w:szCs w:val="18"/>
              </w:rPr>
            </w:pPr>
            <w:r w:rsidRPr="0097007F">
              <w:rPr>
                <w:b/>
                <w:bCs/>
                <w:sz w:val="18"/>
                <w:szCs w:val="18"/>
              </w:rPr>
              <w:t xml:space="preserve">2016 Legal 500 </w:t>
            </w:r>
          </w:p>
        </w:tc>
        <w:tc>
          <w:tcPr>
            <w:tcW w:w="7371" w:type="dxa"/>
          </w:tcPr>
          <w:p w14:paraId="1D85FDFC" w14:textId="77777777" w:rsidR="00B51603" w:rsidRPr="005243F5" w:rsidRDefault="00B51603" w:rsidP="00E52E9D">
            <w:pPr>
              <w:spacing w:before="120" w:after="0"/>
              <w:rPr>
                <w:sz w:val="18"/>
                <w:szCs w:val="18"/>
              </w:rPr>
            </w:pPr>
            <w:r w:rsidRPr="005243F5">
              <w:rPr>
                <w:sz w:val="18"/>
                <w:szCs w:val="18"/>
              </w:rPr>
              <w:t>Recommended by Legal 500 in Guide to Offshore Firms in London</w:t>
            </w:r>
          </w:p>
        </w:tc>
      </w:tr>
      <w:tr w:rsidR="00B51603" w:rsidRPr="007D6C61" w14:paraId="2DE00136" w14:textId="77777777" w:rsidTr="00C05B8F">
        <w:tc>
          <w:tcPr>
            <w:tcW w:w="2127" w:type="dxa"/>
          </w:tcPr>
          <w:p w14:paraId="583A4A24" w14:textId="77777777" w:rsidR="00B51603" w:rsidRPr="0097007F" w:rsidRDefault="00B51603" w:rsidP="005243F5">
            <w:pPr>
              <w:spacing w:after="0"/>
              <w:rPr>
                <w:b/>
                <w:bCs/>
                <w:sz w:val="18"/>
                <w:szCs w:val="18"/>
              </w:rPr>
            </w:pPr>
            <w:r w:rsidRPr="0097007F">
              <w:rPr>
                <w:b/>
                <w:bCs/>
                <w:sz w:val="18"/>
                <w:szCs w:val="18"/>
              </w:rPr>
              <w:t xml:space="preserve">2015 Legal 500 </w:t>
            </w:r>
          </w:p>
        </w:tc>
        <w:tc>
          <w:tcPr>
            <w:tcW w:w="7371" w:type="dxa"/>
          </w:tcPr>
          <w:p w14:paraId="4F3B37FF" w14:textId="77777777" w:rsidR="00B51603" w:rsidRPr="005243F5" w:rsidRDefault="00B51603" w:rsidP="005243F5">
            <w:pPr>
              <w:spacing w:after="0"/>
              <w:rPr>
                <w:sz w:val="18"/>
                <w:szCs w:val="18"/>
              </w:rPr>
            </w:pPr>
            <w:r w:rsidRPr="005243F5">
              <w:rPr>
                <w:sz w:val="18"/>
                <w:szCs w:val="18"/>
              </w:rPr>
              <w:t>Recommended by Legal 500 in Guide to Offshore Firms in London</w:t>
            </w:r>
          </w:p>
        </w:tc>
      </w:tr>
      <w:tr w:rsidR="00B51603" w:rsidRPr="007D6C61" w14:paraId="2E3BD935" w14:textId="77777777" w:rsidTr="00C05B8F">
        <w:tc>
          <w:tcPr>
            <w:tcW w:w="2127" w:type="dxa"/>
          </w:tcPr>
          <w:p w14:paraId="059B4AB7" w14:textId="77777777" w:rsidR="00B51603" w:rsidRPr="0097007F" w:rsidRDefault="00B51603" w:rsidP="005243F5">
            <w:pPr>
              <w:spacing w:after="0"/>
              <w:rPr>
                <w:b/>
                <w:bCs/>
                <w:sz w:val="18"/>
                <w:szCs w:val="18"/>
              </w:rPr>
            </w:pPr>
            <w:r w:rsidRPr="0097007F">
              <w:rPr>
                <w:b/>
                <w:bCs/>
                <w:sz w:val="18"/>
                <w:szCs w:val="18"/>
              </w:rPr>
              <w:t>2014 Chambers UK</w:t>
            </w:r>
          </w:p>
        </w:tc>
        <w:tc>
          <w:tcPr>
            <w:tcW w:w="7371" w:type="dxa"/>
          </w:tcPr>
          <w:p w14:paraId="318DF6A5" w14:textId="77777777" w:rsidR="00B51603" w:rsidRPr="005243F5" w:rsidRDefault="00B51603" w:rsidP="005243F5">
            <w:pPr>
              <w:spacing w:after="0"/>
              <w:rPr>
                <w:sz w:val="18"/>
                <w:szCs w:val="18"/>
              </w:rPr>
            </w:pPr>
            <w:r w:rsidRPr="005243F5">
              <w:rPr>
                <w:sz w:val="18"/>
                <w:szCs w:val="18"/>
              </w:rPr>
              <w:t xml:space="preserve">Ranked in Bank 2 for Offshore: British Virgin Islands Law - UK </w:t>
            </w:r>
          </w:p>
        </w:tc>
      </w:tr>
      <w:tr w:rsidR="00B51603" w:rsidRPr="007D6C61" w14:paraId="004E7201" w14:textId="77777777" w:rsidTr="00C05B8F">
        <w:tc>
          <w:tcPr>
            <w:tcW w:w="2127" w:type="dxa"/>
          </w:tcPr>
          <w:p w14:paraId="490881BF" w14:textId="77777777" w:rsidR="00B51603" w:rsidRPr="0097007F" w:rsidRDefault="00B51603" w:rsidP="005243F5">
            <w:pPr>
              <w:spacing w:after="0"/>
              <w:rPr>
                <w:b/>
                <w:bCs/>
                <w:sz w:val="18"/>
                <w:szCs w:val="18"/>
              </w:rPr>
            </w:pPr>
            <w:r w:rsidRPr="0097007F">
              <w:rPr>
                <w:b/>
                <w:bCs/>
                <w:sz w:val="18"/>
                <w:szCs w:val="18"/>
              </w:rPr>
              <w:t xml:space="preserve">2013 Chambers Global </w:t>
            </w:r>
          </w:p>
        </w:tc>
        <w:tc>
          <w:tcPr>
            <w:tcW w:w="7371" w:type="dxa"/>
          </w:tcPr>
          <w:p w14:paraId="66665EC4" w14:textId="77777777" w:rsidR="00B51603" w:rsidRPr="005243F5" w:rsidRDefault="00B51603" w:rsidP="005243F5">
            <w:pPr>
              <w:spacing w:after="0"/>
              <w:rPr>
                <w:sz w:val="18"/>
                <w:szCs w:val="18"/>
              </w:rPr>
            </w:pPr>
            <w:r w:rsidRPr="005243F5">
              <w:rPr>
                <w:sz w:val="18"/>
                <w:szCs w:val="18"/>
              </w:rPr>
              <w:t>Recommended as a foreign lawyer in the UK (Corporate/M&amp;A)</w:t>
            </w:r>
          </w:p>
        </w:tc>
      </w:tr>
      <w:tr w:rsidR="00B51603" w:rsidRPr="007D6C61" w14:paraId="2E720081" w14:textId="77777777" w:rsidTr="00C05B8F">
        <w:tc>
          <w:tcPr>
            <w:tcW w:w="2127" w:type="dxa"/>
          </w:tcPr>
          <w:p w14:paraId="5C7839F2" w14:textId="77777777" w:rsidR="00B51603" w:rsidRPr="0097007F" w:rsidRDefault="00B51603" w:rsidP="005243F5">
            <w:pPr>
              <w:spacing w:after="0"/>
              <w:rPr>
                <w:b/>
                <w:bCs/>
                <w:sz w:val="18"/>
                <w:szCs w:val="18"/>
              </w:rPr>
            </w:pPr>
            <w:r w:rsidRPr="0097007F">
              <w:rPr>
                <w:b/>
                <w:bCs/>
                <w:sz w:val="18"/>
                <w:szCs w:val="18"/>
              </w:rPr>
              <w:t>2012 Chambers Global</w:t>
            </w:r>
          </w:p>
        </w:tc>
        <w:tc>
          <w:tcPr>
            <w:tcW w:w="7371" w:type="dxa"/>
          </w:tcPr>
          <w:p w14:paraId="0B53F1DA" w14:textId="77777777" w:rsidR="00B51603" w:rsidRPr="005243F5" w:rsidRDefault="00B51603" w:rsidP="005243F5">
            <w:pPr>
              <w:spacing w:after="0"/>
              <w:rPr>
                <w:sz w:val="18"/>
                <w:szCs w:val="18"/>
              </w:rPr>
            </w:pPr>
            <w:r w:rsidRPr="005243F5">
              <w:rPr>
                <w:sz w:val="18"/>
                <w:szCs w:val="18"/>
              </w:rPr>
              <w:t>Recommended as a foreign lawyer in the UK (Corporate/M&amp;A)</w:t>
            </w:r>
          </w:p>
        </w:tc>
      </w:tr>
      <w:tr w:rsidR="00B51603" w:rsidRPr="007D6C61" w14:paraId="22284E55" w14:textId="77777777" w:rsidTr="00C05B8F">
        <w:tc>
          <w:tcPr>
            <w:tcW w:w="2127" w:type="dxa"/>
          </w:tcPr>
          <w:p w14:paraId="668A1334" w14:textId="77777777" w:rsidR="00B51603" w:rsidRPr="0097007F" w:rsidRDefault="00B51603" w:rsidP="005243F5">
            <w:pPr>
              <w:spacing w:after="0"/>
              <w:rPr>
                <w:b/>
                <w:bCs/>
                <w:sz w:val="18"/>
                <w:szCs w:val="18"/>
              </w:rPr>
            </w:pPr>
            <w:r w:rsidRPr="0097007F">
              <w:rPr>
                <w:b/>
                <w:bCs/>
                <w:sz w:val="18"/>
                <w:szCs w:val="18"/>
              </w:rPr>
              <w:t>2011 Chambers Global</w:t>
            </w:r>
          </w:p>
        </w:tc>
        <w:tc>
          <w:tcPr>
            <w:tcW w:w="7371" w:type="dxa"/>
          </w:tcPr>
          <w:p w14:paraId="5A0F9086" w14:textId="77777777" w:rsidR="00B51603" w:rsidRPr="005243F5" w:rsidRDefault="00B51603" w:rsidP="005243F5">
            <w:pPr>
              <w:spacing w:after="0"/>
              <w:rPr>
                <w:sz w:val="18"/>
                <w:szCs w:val="18"/>
              </w:rPr>
            </w:pPr>
            <w:r w:rsidRPr="005243F5">
              <w:rPr>
                <w:sz w:val="18"/>
                <w:szCs w:val="18"/>
              </w:rPr>
              <w:t>Recommended as a foreign lawyer in the UK (Corporate/M&amp;A).</w:t>
            </w:r>
          </w:p>
        </w:tc>
      </w:tr>
      <w:tr w:rsidR="00B51603" w:rsidRPr="007D6C61" w14:paraId="6D5376FB" w14:textId="77777777" w:rsidTr="00C05B8F">
        <w:tc>
          <w:tcPr>
            <w:tcW w:w="2127" w:type="dxa"/>
          </w:tcPr>
          <w:p w14:paraId="7F51CAB2" w14:textId="77777777" w:rsidR="00B51603" w:rsidRPr="0097007F" w:rsidRDefault="00B51603" w:rsidP="005243F5">
            <w:pPr>
              <w:spacing w:after="0"/>
              <w:rPr>
                <w:b/>
                <w:bCs/>
                <w:sz w:val="18"/>
                <w:szCs w:val="18"/>
              </w:rPr>
            </w:pPr>
            <w:r w:rsidRPr="0097007F">
              <w:rPr>
                <w:b/>
                <w:bCs/>
                <w:sz w:val="18"/>
                <w:szCs w:val="18"/>
              </w:rPr>
              <w:t xml:space="preserve">2010 Chambers Global </w:t>
            </w:r>
          </w:p>
        </w:tc>
        <w:tc>
          <w:tcPr>
            <w:tcW w:w="7371" w:type="dxa"/>
          </w:tcPr>
          <w:p w14:paraId="7FDA1B3A" w14:textId="4FA15C83" w:rsidR="00B51603" w:rsidRPr="005243F5" w:rsidRDefault="00B51603" w:rsidP="005243F5">
            <w:pPr>
              <w:spacing w:after="0"/>
              <w:rPr>
                <w:sz w:val="18"/>
                <w:szCs w:val="18"/>
              </w:rPr>
            </w:pPr>
            <w:r w:rsidRPr="005243F5">
              <w:rPr>
                <w:sz w:val="18"/>
                <w:szCs w:val="18"/>
              </w:rPr>
              <w:t xml:space="preserve">Recommended </w:t>
            </w:r>
            <w:r w:rsidR="00BB7698">
              <w:rPr>
                <w:sz w:val="18"/>
                <w:szCs w:val="18"/>
              </w:rPr>
              <w:t>BVI</w:t>
            </w:r>
            <w:r w:rsidRPr="005243F5">
              <w:rPr>
                <w:sz w:val="18"/>
                <w:szCs w:val="18"/>
              </w:rPr>
              <w:t xml:space="preserve"> </w:t>
            </w:r>
            <w:r w:rsidR="00BB7698">
              <w:rPr>
                <w:sz w:val="18"/>
                <w:szCs w:val="18"/>
              </w:rPr>
              <w:t>l</w:t>
            </w:r>
            <w:r w:rsidRPr="005243F5">
              <w:rPr>
                <w:sz w:val="18"/>
                <w:szCs w:val="18"/>
              </w:rPr>
              <w:t>awyer</w:t>
            </w:r>
            <w:r w:rsidR="00BB7698">
              <w:rPr>
                <w:sz w:val="18"/>
                <w:szCs w:val="18"/>
              </w:rPr>
              <w:t xml:space="preserve">. </w:t>
            </w:r>
            <w:r w:rsidRPr="005243F5">
              <w:rPr>
                <w:sz w:val="18"/>
                <w:szCs w:val="18"/>
              </w:rPr>
              <w:t>"Commentators describe him as "highly commercially astute"</w:t>
            </w:r>
          </w:p>
        </w:tc>
      </w:tr>
      <w:tr w:rsidR="00B51603" w:rsidRPr="007D6C61" w14:paraId="0C09DD97" w14:textId="77777777" w:rsidTr="00C05B8F">
        <w:tc>
          <w:tcPr>
            <w:tcW w:w="2127" w:type="dxa"/>
          </w:tcPr>
          <w:p w14:paraId="36085F37" w14:textId="77777777" w:rsidR="00B51603" w:rsidRPr="0097007F" w:rsidRDefault="00B51603" w:rsidP="005243F5">
            <w:pPr>
              <w:spacing w:after="0"/>
              <w:rPr>
                <w:b/>
                <w:bCs/>
                <w:sz w:val="18"/>
                <w:szCs w:val="18"/>
              </w:rPr>
            </w:pPr>
            <w:r w:rsidRPr="0097007F">
              <w:rPr>
                <w:b/>
                <w:bCs/>
                <w:sz w:val="18"/>
                <w:szCs w:val="18"/>
              </w:rPr>
              <w:t>2009 Chambers Global</w:t>
            </w:r>
          </w:p>
        </w:tc>
        <w:tc>
          <w:tcPr>
            <w:tcW w:w="7371" w:type="dxa"/>
          </w:tcPr>
          <w:p w14:paraId="7A398756" w14:textId="3589C8B0" w:rsidR="00B51603" w:rsidRPr="005243F5" w:rsidRDefault="00B51603" w:rsidP="005243F5">
            <w:pPr>
              <w:spacing w:after="0"/>
              <w:rPr>
                <w:sz w:val="18"/>
                <w:szCs w:val="18"/>
              </w:rPr>
            </w:pPr>
            <w:r w:rsidRPr="005243F5">
              <w:rPr>
                <w:sz w:val="18"/>
                <w:szCs w:val="18"/>
              </w:rPr>
              <w:t xml:space="preserve">Recommended </w:t>
            </w:r>
            <w:r w:rsidR="00BB7698">
              <w:rPr>
                <w:sz w:val="18"/>
                <w:szCs w:val="18"/>
              </w:rPr>
              <w:t>BVI</w:t>
            </w:r>
            <w:r w:rsidRPr="005243F5">
              <w:rPr>
                <w:sz w:val="18"/>
                <w:szCs w:val="18"/>
              </w:rPr>
              <w:t xml:space="preserve"> lawyer</w:t>
            </w:r>
            <w:r w:rsidR="00BB7698">
              <w:rPr>
                <w:sz w:val="18"/>
                <w:szCs w:val="18"/>
              </w:rPr>
              <w:t xml:space="preserve">. </w:t>
            </w:r>
            <w:r w:rsidRPr="005243F5">
              <w:rPr>
                <w:sz w:val="18"/>
                <w:szCs w:val="18"/>
              </w:rPr>
              <w:t>"</w:t>
            </w:r>
            <w:proofErr w:type="gramStart"/>
            <w:r w:rsidRPr="005243F5">
              <w:rPr>
                <w:sz w:val="18"/>
                <w:szCs w:val="18"/>
              </w:rPr>
              <w:t>efficient</w:t>
            </w:r>
            <w:proofErr w:type="gramEnd"/>
            <w:r w:rsidRPr="005243F5">
              <w:rPr>
                <w:sz w:val="18"/>
                <w:szCs w:val="18"/>
              </w:rPr>
              <w:t>, reliable and particularly good in major transactions"</w:t>
            </w:r>
          </w:p>
        </w:tc>
      </w:tr>
      <w:tr w:rsidR="00B51603" w:rsidRPr="007D6C61" w14:paraId="2B184A23" w14:textId="77777777" w:rsidTr="00C05B8F">
        <w:tc>
          <w:tcPr>
            <w:tcW w:w="2127" w:type="dxa"/>
          </w:tcPr>
          <w:p w14:paraId="71869A55" w14:textId="77777777" w:rsidR="00B51603" w:rsidRPr="0097007F" w:rsidRDefault="00B51603" w:rsidP="005243F5">
            <w:pPr>
              <w:spacing w:after="0"/>
              <w:rPr>
                <w:b/>
                <w:bCs/>
                <w:sz w:val="18"/>
                <w:szCs w:val="18"/>
              </w:rPr>
            </w:pPr>
            <w:r w:rsidRPr="0097007F">
              <w:rPr>
                <w:b/>
                <w:bCs/>
                <w:sz w:val="18"/>
                <w:szCs w:val="18"/>
              </w:rPr>
              <w:t xml:space="preserve">2009 Legal 500 </w:t>
            </w:r>
          </w:p>
        </w:tc>
        <w:tc>
          <w:tcPr>
            <w:tcW w:w="7371" w:type="dxa"/>
          </w:tcPr>
          <w:p w14:paraId="53DB9CB9" w14:textId="15BA56C1" w:rsidR="00B51603" w:rsidRPr="005243F5" w:rsidRDefault="00B51603" w:rsidP="005243F5">
            <w:pPr>
              <w:spacing w:after="0"/>
              <w:rPr>
                <w:sz w:val="18"/>
                <w:szCs w:val="18"/>
              </w:rPr>
            </w:pPr>
            <w:r w:rsidRPr="005243F5">
              <w:rPr>
                <w:sz w:val="18"/>
                <w:szCs w:val="18"/>
              </w:rPr>
              <w:t xml:space="preserve">Recommended </w:t>
            </w:r>
            <w:r w:rsidR="00BB7698">
              <w:rPr>
                <w:sz w:val="18"/>
                <w:szCs w:val="18"/>
              </w:rPr>
              <w:t>BVI</w:t>
            </w:r>
            <w:r w:rsidRPr="005243F5">
              <w:rPr>
                <w:sz w:val="18"/>
                <w:szCs w:val="18"/>
              </w:rPr>
              <w:t xml:space="preserve"> </w:t>
            </w:r>
            <w:r w:rsidR="00BB7698">
              <w:rPr>
                <w:sz w:val="18"/>
                <w:szCs w:val="18"/>
              </w:rPr>
              <w:t>l</w:t>
            </w:r>
            <w:r w:rsidRPr="005243F5">
              <w:rPr>
                <w:sz w:val="18"/>
                <w:szCs w:val="18"/>
              </w:rPr>
              <w:t>awyer</w:t>
            </w:r>
          </w:p>
        </w:tc>
      </w:tr>
      <w:tr w:rsidR="00B51603" w:rsidRPr="007D6C61" w14:paraId="0DEA34D9" w14:textId="77777777" w:rsidTr="00C05B8F">
        <w:tc>
          <w:tcPr>
            <w:tcW w:w="2127" w:type="dxa"/>
          </w:tcPr>
          <w:p w14:paraId="5DE0EDE4" w14:textId="77777777" w:rsidR="00B51603" w:rsidRPr="0097007F" w:rsidRDefault="00B51603" w:rsidP="005243F5">
            <w:pPr>
              <w:spacing w:after="0"/>
              <w:rPr>
                <w:b/>
                <w:bCs/>
                <w:sz w:val="18"/>
                <w:szCs w:val="18"/>
              </w:rPr>
            </w:pPr>
            <w:r w:rsidRPr="0097007F">
              <w:rPr>
                <w:b/>
                <w:bCs/>
                <w:sz w:val="18"/>
                <w:szCs w:val="18"/>
              </w:rPr>
              <w:t>2008 Chambers Global</w:t>
            </w:r>
          </w:p>
        </w:tc>
        <w:tc>
          <w:tcPr>
            <w:tcW w:w="7371" w:type="dxa"/>
          </w:tcPr>
          <w:p w14:paraId="1913211E" w14:textId="1E7B8201" w:rsidR="00B51603" w:rsidRPr="005243F5" w:rsidRDefault="00B51603" w:rsidP="005243F5">
            <w:pPr>
              <w:spacing w:after="0"/>
              <w:rPr>
                <w:sz w:val="18"/>
                <w:szCs w:val="18"/>
              </w:rPr>
            </w:pPr>
            <w:r w:rsidRPr="005243F5">
              <w:rPr>
                <w:sz w:val="18"/>
                <w:szCs w:val="18"/>
              </w:rPr>
              <w:t xml:space="preserve">Recommended </w:t>
            </w:r>
            <w:r w:rsidR="00BB7698">
              <w:rPr>
                <w:sz w:val="18"/>
                <w:szCs w:val="18"/>
              </w:rPr>
              <w:t>BVI</w:t>
            </w:r>
            <w:r w:rsidRPr="005243F5">
              <w:rPr>
                <w:sz w:val="18"/>
                <w:szCs w:val="18"/>
              </w:rPr>
              <w:t xml:space="preserve"> lawyer</w:t>
            </w:r>
            <w:r w:rsidR="00BB7698">
              <w:rPr>
                <w:sz w:val="18"/>
                <w:szCs w:val="18"/>
              </w:rPr>
              <w:t xml:space="preserve">. </w:t>
            </w:r>
            <w:r w:rsidRPr="005243F5">
              <w:rPr>
                <w:sz w:val="18"/>
                <w:szCs w:val="18"/>
              </w:rPr>
              <w:t>""an amazing lawyer - able, capable and astute," according to clients. He handles general corporate/commercial work and "knows his area inside-out.""</w:t>
            </w:r>
          </w:p>
        </w:tc>
      </w:tr>
      <w:tr w:rsidR="00B51603" w:rsidRPr="007D6C61" w14:paraId="0DA6076E" w14:textId="77777777" w:rsidTr="00C05B8F">
        <w:tc>
          <w:tcPr>
            <w:tcW w:w="2127" w:type="dxa"/>
          </w:tcPr>
          <w:p w14:paraId="6CFA1E1B" w14:textId="77777777" w:rsidR="00B51603" w:rsidRPr="0097007F" w:rsidRDefault="00B51603" w:rsidP="005243F5">
            <w:pPr>
              <w:spacing w:after="0"/>
              <w:rPr>
                <w:b/>
                <w:bCs/>
                <w:sz w:val="18"/>
                <w:szCs w:val="18"/>
              </w:rPr>
            </w:pPr>
            <w:r w:rsidRPr="0097007F">
              <w:rPr>
                <w:b/>
                <w:bCs/>
                <w:sz w:val="18"/>
                <w:szCs w:val="18"/>
              </w:rPr>
              <w:t xml:space="preserve">2008 PLC Which Lawyer? </w:t>
            </w:r>
          </w:p>
        </w:tc>
        <w:tc>
          <w:tcPr>
            <w:tcW w:w="7371" w:type="dxa"/>
          </w:tcPr>
          <w:p w14:paraId="5261D144" w14:textId="70C1C5DF" w:rsidR="00B51603" w:rsidRPr="005243F5" w:rsidRDefault="00B51603" w:rsidP="00E52E9D">
            <w:pPr>
              <w:spacing w:after="120"/>
              <w:rPr>
                <w:sz w:val="18"/>
                <w:szCs w:val="18"/>
              </w:rPr>
            </w:pPr>
            <w:r w:rsidRPr="005243F5">
              <w:rPr>
                <w:sz w:val="18"/>
                <w:szCs w:val="18"/>
              </w:rPr>
              <w:t xml:space="preserve">Recommended </w:t>
            </w:r>
            <w:r w:rsidR="00BB7698">
              <w:rPr>
                <w:sz w:val="18"/>
                <w:szCs w:val="18"/>
              </w:rPr>
              <w:t>BVI</w:t>
            </w:r>
            <w:r w:rsidRPr="005243F5">
              <w:rPr>
                <w:sz w:val="18"/>
                <w:szCs w:val="18"/>
              </w:rPr>
              <w:t xml:space="preserve"> </w:t>
            </w:r>
            <w:r w:rsidR="00BB7698">
              <w:rPr>
                <w:sz w:val="18"/>
                <w:szCs w:val="18"/>
              </w:rPr>
              <w:t>l</w:t>
            </w:r>
            <w:r w:rsidRPr="005243F5">
              <w:rPr>
                <w:sz w:val="18"/>
                <w:szCs w:val="18"/>
              </w:rPr>
              <w:t>awyer</w:t>
            </w:r>
          </w:p>
        </w:tc>
      </w:tr>
    </w:tbl>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8"/>
      </w:tblGrid>
      <w:tr w:rsidR="00A47D70" w14:paraId="45ABAD08" w14:textId="77777777" w:rsidTr="00C05B8F">
        <w:tc>
          <w:tcPr>
            <w:tcW w:w="9498" w:type="dxa"/>
            <w:shd w:val="clear" w:color="auto" w:fill="D9D9D9" w:themeFill="background1" w:themeFillShade="D9"/>
          </w:tcPr>
          <w:p w14:paraId="5BFE4BB8" w14:textId="481351B6" w:rsidR="00A47D70" w:rsidRPr="005243F5" w:rsidRDefault="00A47D70" w:rsidP="00E52E9D">
            <w:pPr>
              <w:rPr>
                <w:b/>
                <w:bCs/>
                <w:sz w:val="20"/>
                <w:szCs w:val="20"/>
              </w:rPr>
            </w:pPr>
            <w:r w:rsidRPr="005243F5">
              <w:rPr>
                <w:b/>
                <w:bCs/>
                <w:sz w:val="20"/>
                <w:szCs w:val="20"/>
              </w:rPr>
              <w:t>ACADEMICS AND QUALIFICATIONS</w:t>
            </w:r>
          </w:p>
        </w:tc>
      </w:tr>
    </w:tbl>
    <w:tbl>
      <w:tblPr>
        <w:tblW w:w="9498" w:type="dxa"/>
        <w:tblInd w:w="-284" w:type="dxa"/>
        <w:tblLook w:val="0000" w:firstRow="0" w:lastRow="0" w:firstColumn="0" w:lastColumn="0" w:noHBand="0" w:noVBand="0"/>
      </w:tblPr>
      <w:tblGrid>
        <w:gridCol w:w="2606"/>
        <w:gridCol w:w="2073"/>
        <w:gridCol w:w="4819"/>
      </w:tblGrid>
      <w:tr w:rsidR="00A47D70" w:rsidRPr="007D6C61" w14:paraId="333F8F22" w14:textId="77777777" w:rsidTr="00C05B8F">
        <w:tc>
          <w:tcPr>
            <w:tcW w:w="2606" w:type="dxa"/>
          </w:tcPr>
          <w:p w14:paraId="76A4995A" w14:textId="31BEFCA9" w:rsidR="00A47D70" w:rsidRPr="002426C5" w:rsidRDefault="00A47D70" w:rsidP="00E52E9D">
            <w:pPr>
              <w:spacing w:before="120" w:after="0"/>
              <w:rPr>
                <w:b/>
                <w:bCs/>
                <w:sz w:val="18"/>
                <w:szCs w:val="18"/>
              </w:rPr>
            </w:pPr>
            <w:r w:rsidRPr="002426C5">
              <w:rPr>
                <w:b/>
                <w:bCs/>
                <w:sz w:val="18"/>
                <w:szCs w:val="18"/>
              </w:rPr>
              <w:t>Law Sch</w:t>
            </w:r>
            <w:r w:rsidR="000662E2">
              <w:rPr>
                <w:b/>
                <w:bCs/>
                <w:sz w:val="18"/>
                <w:szCs w:val="18"/>
              </w:rPr>
              <w:t xml:space="preserve">ool </w:t>
            </w:r>
            <w:r w:rsidRPr="002426C5">
              <w:rPr>
                <w:b/>
                <w:bCs/>
                <w:sz w:val="18"/>
                <w:szCs w:val="18"/>
              </w:rPr>
              <w:t>(2000-2001)</w:t>
            </w:r>
          </w:p>
        </w:tc>
        <w:tc>
          <w:tcPr>
            <w:tcW w:w="6892" w:type="dxa"/>
            <w:gridSpan w:val="2"/>
          </w:tcPr>
          <w:p w14:paraId="239C0383" w14:textId="3DF777F7" w:rsidR="00A47D70" w:rsidRPr="002426C5" w:rsidRDefault="000662E2" w:rsidP="00E52E9D">
            <w:pPr>
              <w:spacing w:before="120" w:after="0"/>
              <w:rPr>
                <w:sz w:val="18"/>
                <w:szCs w:val="18"/>
              </w:rPr>
            </w:pPr>
            <w:r>
              <w:rPr>
                <w:sz w:val="18"/>
                <w:szCs w:val="18"/>
              </w:rPr>
              <w:t xml:space="preserve">Legal Practice Course, </w:t>
            </w:r>
            <w:r w:rsidR="00A47D70" w:rsidRPr="002426C5">
              <w:rPr>
                <w:sz w:val="18"/>
                <w:szCs w:val="18"/>
              </w:rPr>
              <w:t>Nottingham Law School</w:t>
            </w:r>
          </w:p>
        </w:tc>
      </w:tr>
      <w:tr w:rsidR="00A47D70" w:rsidRPr="007D6C61" w14:paraId="485D3ED4" w14:textId="77777777" w:rsidTr="00C05B8F">
        <w:tc>
          <w:tcPr>
            <w:tcW w:w="2606" w:type="dxa"/>
          </w:tcPr>
          <w:p w14:paraId="2862DD53" w14:textId="77777777" w:rsidR="00A47D70" w:rsidRPr="002426C5" w:rsidRDefault="00A47D70" w:rsidP="00281827">
            <w:pPr>
              <w:spacing w:after="0"/>
              <w:rPr>
                <w:b/>
                <w:bCs/>
                <w:sz w:val="18"/>
                <w:szCs w:val="18"/>
              </w:rPr>
            </w:pPr>
            <w:r w:rsidRPr="002426C5">
              <w:rPr>
                <w:b/>
                <w:bCs/>
                <w:sz w:val="18"/>
                <w:szCs w:val="18"/>
              </w:rPr>
              <w:t>Postgraduate (1999-2000)</w:t>
            </w:r>
          </w:p>
        </w:tc>
        <w:tc>
          <w:tcPr>
            <w:tcW w:w="6892" w:type="dxa"/>
            <w:gridSpan w:val="2"/>
          </w:tcPr>
          <w:p w14:paraId="73D1880D" w14:textId="77777777" w:rsidR="00A47D70" w:rsidRPr="002426C5" w:rsidRDefault="00A47D70" w:rsidP="002426C5">
            <w:pPr>
              <w:spacing w:after="0"/>
              <w:rPr>
                <w:sz w:val="18"/>
                <w:szCs w:val="18"/>
              </w:rPr>
            </w:pPr>
            <w:r w:rsidRPr="002426C5">
              <w:rPr>
                <w:sz w:val="18"/>
                <w:szCs w:val="18"/>
              </w:rPr>
              <w:t>Masters in European Law, Université de Rennes I</w:t>
            </w:r>
          </w:p>
        </w:tc>
      </w:tr>
      <w:tr w:rsidR="00A47D70" w:rsidRPr="007D6C61" w14:paraId="1AA569D1" w14:textId="77777777" w:rsidTr="00C05B8F">
        <w:tc>
          <w:tcPr>
            <w:tcW w:w="2606" w:type="dxa"/>
          </w:tcPr>
          <w:p w14:paraId="3C401844" w14:textId="77777777" w:rsidR="00A47D70" w:rsidRPr="002426C5" w:rsidRDefault="00A47D70" w:rsidP="00281827">
            <w:pPr>
              <w:spacing w:after="0"/>
              <w:rPr>
                <w:b/>
                <w:bCs/>
                <w:sz w:val="18"/>
                <w:szCs w:val="18"/>
              </w:rPr>
            </w:pPr>
            <w:r w:rsidRPr="002426C5">
              <w:rPr>
                <w:b/>
                <w:bCs/>
                <w:sz w:val="18"/>
                <w:szCs w:val="18"/>
              </w:rPr>
              <w:t>University (1996-1999)</w:t>
            </w:r>
          </w:p>
        </w:tc>
        <w:tc>
          <w:tcPr>
            <w:tcW w:w="6892" w:type="dxa"/>
            <w:gridSpan w:val="2"/>
          </w:tcPr>
          <w:p w14:paraId="6796AE31" w14:textId="58CC1E09" w:rsidR="00A47D70" w:rsidRPr="002426C5" w:rsidRDefault="00A47D70" w:rsidP="002426C5">
            <w:pPr>
              <w:spacing w:after="0"/>
              <w:rPr>
                <w:sz w:val="18"/>
                <w:szCs w:val="18"/>
              </w:rPr>
            </w:pPr>
            <w:r w:rsidRPr="002426C5">
              <w:rPr>
                <w:sz w:val="18"/>
                <w:szCs w:val="18"/>
              </w:rPr>
              <w:t>University of Exeter (1996-1999)</w:t>
            </w:r>
            <w:r w:rsidRPr="002426C5">
              <w:rPr>
                <w:sz w:val="18"/>
                <w:szCs w:val="18"/>
              </w:rPr>
              <w:br/>
              <w:t>LLB (European) Hons – English Law and French Law – 2:1</w:t>
            </w:r>
          </w:p>
        </w:tc>
      </w:tr>
      <w:tr w:rsidR="00A47D70" w:rsidRPr="007D6C61" w14:paraId="02A2C43C" w14:textId="77777777" w:rsidTr="00C05B8F">
        <w:tc>
          <w:tcPr>
            <w:tcW w:w="2606" w:type="dxa"/>
          </w:tcPr>
          <w:p w14:paraId="765F6804" w14:textId="77777777" w:rsidR="00A47D70" w:rsidRPr="002426C5" w:rsidRDefault="00A47D70" w:rsidP="00281827">
            <w:pPr>
              <w:spacing w:after="0"/>
              <w:rPr>
                <w:b/>
                <w:bCs/>
                <w:sz w:val="18"/>
                <w:szCs w:val="18"/>
              </w:rPr>
            </w:pPr>
            <w:r w:rsidRPr="002426C5">
              <w:rPr>
                <w:b/>
                <w:bCs/>
                <w:sz w:val="18"/>
                <w:szCs w:val="18"/>
              </w:rPr>
              <w:t>Admissions to Practice Law</w:t>
            </w:r>
          </w:p>
        </w:tc>
        <w:tc>
          <w:tcPr>
            <w:tcW w:w="2073" w:type="dxa"/>
          </w:tcPr>
          <w:p w14:paraId="69D9BA18" w14:textId="7E80B95A" w:rsidR="00281827" w:rsidRPr="002426C5" w:rsidRDefault="00A47D70" w:rsidP="000D7EFD">
            <w:pPr>
              <w:spacing w:after="120"/>
              <w:rPr>
                <w:sz w:val="18"/>
                <w:szCs w:val="18"/>
              </w:rPr>
            </w:pPr>
            <w:r w:rsidRPr="002426C5">
              <w:rPr>
                <w:sz w:val="18"/>
                <w:szCs w:val="18"/>
              </w:rPr>
              <w:t>England &amp; Wales</w:t>
            </w:r>
            <w:r w:rsidRPr="002426C5">
              <w:rPr>
                <w:sz w:val="18"/>
                <w:szCs w:val="18"/>
              </w:rPr>
              <w:br/>
              <w:t>British Virgin Islands</w:t>
            </w:r>
          </w:p>
        </w:tc>
        <w:tc>
          <w:tcPr>
            <w:tcW w:w="4819" w:type="dxa"/>
          </w:tcPr>
          <w:p w14:paraId="60C50D79" w14:textId="66927E63" w:rsidR="00A47D70" w:rsidRPr="002426C5" w:rsidRDefault="002375C1" w:rsidP="002426C5">
            <w:pPr>
              <w:spacing w:after="0"/>
              <w:rPr>
                <w:sz w:val="18"/>
                <w:szCs w:val="18"/>
              </w:rPr>
            </w:pPr>
            <w:r>
              <w:rPr>
                <w:sz w:val="18"/>
                <w:szCs w:val="18"/>
              </w:rPr>
              <w:t>Bermuda</w:t>
            </w:r>
          </w:p>
        </w:tc>
      </w:tr>
    </w:tbl>
    <w:tbl>
      <w:tblPr>
        <w:tblStyle w:val="TableGrid"/>
        <w:tblW w:w="99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3283"/>
        <w:gridCol w:w="2190"/>
        <w:gridCol w:w="3196"/>
        <w:gridCol w:w="63"/>
      </w:tblGrid>
      <w:tr w:rsidR="0091661D" w14:paraId="728658FE" w14:textId="77777777" w:rsidTr="0091661D">
        <w:trPr>
          <w:gridAfter w:val="1"/>
          <w:wAfter w:w="63" w:type="dxa"/>
        </w:trPr>
        <w:tc>
          <w:tcPr>
            <w:tcW w:w="9923" w:type="dxa"/>
            <w:gridSpan w:val="4"/>
            <w:shd w:val="clear" w:color="auto" w:fill="D9D9D9" w:themeFill="background1" w:themeFillShade="D9"/>
          </w:tcPr>
          <w:p w14:paraId="41F1C103" w14:textId="77777777" w:rsidR="00281827" w:rsidRPr="005243F5" w:rsidRDefault="00281827" w:rsidP="00E52E9D">
            <w:pPr>
              <w:rPr>
                <w:b/>
                <w:bCs/>
                <w:sz w:val="20"/>
                <w:szCs w:val="20"/>
              </w:rPr>
            </w:pPr>
            <w:r w:rsidRPr="005243F5">
              <w:rPr>
                <w:b/>
                <w:bCs/>
                <w:sz w:val="20"/>
                <w:szCs w:val="20"/>
              </w:rPr>
              <w:t>PERSONAL DETAILS</w:t>
            </w:r>
          </w:p>
        </w:tc>
      </w:tr>
      <w:tr w:rsidR="0091661D" w:rsidRPr="002426C5" w14:paraId="1D13BD7D" w14:textId="77777777" w:rsidTr="0091661D">
        <w:tc>
          <w:tcPr>
            <w:tcW w:w="1254" w:type="dxa"/>
          </w:tcPr>
          <w:p w14:paraId="2710FE5D" w14:textId="77777777" w:rsidR="0091661D" w:rsidRPr="002426C5" w:rsidRDefault="0091661D" w:rsidP="0091661D">
            <w:pPr>
              <w:spacing w:before="120"/>
              <w:rPr>
                <w:b/>
                <w:bCs/>
                <w:sz w:val="18"/>
                <w:szCs w:val="18"/>
              </w:rPr>
            </w:pPr>
            <w:r w:rsidRPr="002426C5">
              <w:rPr>
                <w:b/>
                <w:bCs/>
                <w:sz w:val="18"/>
                <w:szCs w:val="18"/>
              </w:rPr>
              <w:t>Full Name</w:t>
            </w:r>
          </w:p>
        </w:tc>
        <w:tc>
          <w:tcPr>
            <w:tcW w:w="3283" w:type="dxa"/>
          </w:tcPr>
          <w:p w14:paraId="51FAF373" w14:textId="77777777" w:rsidR="0091661D" w:rsidRPr="002426C5" w:rsidRDefault="0091661D" w:rsidP="0091661D">
            <w:pPr>
              <w:spacing w:before="120"/>
              <w:rPr>
                <w:sz w:val="18"/>
                <w:szCs w:val="18"/>
              </w:rPr>
            </w:pPr>
            <w:r w:rsidRPr="002426C5">
              <w:rPr>
                <w:sz w:val="18"/>
                <w:szCs w:val="18"/>
              </w:rPr>
              <w:t>Simon Christopher Hudd</w:t>
            </w:r>
          </w:p>
        </w:tc>
        <w:tc>
          <w:tcPr>
            <w:tcW w:w="2190" w:type="dxa"/>
          </w:tcPr>
          <w:p w14:paraId="235A6F6D" w14:textId="64A092D3" w:rsidR="0091661D" w:rsidRPr="002426C5" w:rsidRDefault="0091661D" w:rsidP="0091661D">
            <w:pPr>
              <w:spacing w:before="120"/>
              <w:rPr>
                <w:b/>
                <w:bCs/>
                <w:sz w:val="18"/>
                <w:szCs w:val="18"/>
              </w:rPr>
            </w:pPr>
            <w:r w:rsidRPr="002426C5">
              <w:rPr>
                <w:b/>
                <w:bCs/>
                <w:sz w:val="18"/>
                <w:szCs w:val="18"/>
              </w:rPr>
              <w:t>Date of Birth</w:t>
            </w:r>
          </w:p>
        </w:tc>
        <w:tc>
          <w:tcPr>
            <w:tcW w:w="3259" w:type="dxa"/>
            <w:gridSpan w:val="2"/>
          </w:tcPr>
          <w:p w14:paraId="5F716A9C" w14:textId="7F2D9598" w:rsidR="0091661D" w:rsidRPr="002426C5" w:rsidRDefault="0091661D" w:rsidP="0091661D">
            <w:pPr>
              <w:spacing w:before="120"/>
              <w:rPr>
                <w:sz w:val="18"/>
                <w:szCs w:val="18"/>
              </w:rPr>
            </w:pPr>
            <w:r w:rsidRPr="002426C5">
              <w:rPr>
                <w:sz w:val="18"/>
                <w:szCs w:val="18"/>
              </w:rPr>
              <w:t>19 April 1978</w:t>
            </w:r>
          </w:p>
        </w:tc>
      </w:tr>
      <w:tr w:rsidR="0091661D" w:rsidRPr="002426C5" w14:paraId="584D1411" w14:textId="77777777" w:rsidTr="0091661D">
        <w:tc>
          <w:tcPr>
            <w:tcW w:w="1254" w:type="dxa"/>
          </w:tcPr>
          <w:p w14:paraId="19591D95" w14:textId="520BB587" w:rsidR="0091661D" w:rsidRPr="002426C5" w:rsidRDefault="0091661D" w:rsidP="0091661D">
            <w:pPr>
              <w:rPr>
                <w:b/>
                <w:bCs/>
                <w:sz w:val="18"/>
                <w:szCs w:val="18"/>
              </w:rPr>
            </w:pPr>
            <w:r w:rsidRPr="002426C5">
              <w:rPr>
                <w:b/>
                <w:bCs/>
                <w:sz w:val="18"/>
                <w:szCs w:val="18"/>
              </w:rPr>
              <w:t>Age</w:t>
            </w:r>
          </w:p>
        </w:tc>
        <w:tc>
          <w:tcPr>
            <w:tcW w:w="3283" w:type="dxa"/>
          </w:tcPr>
          <w:p w14:paraId="0AD0A750" w14:textId="263FE2FF" w:rsidR="0091661D" w:rsidRPr="002426C5" w:rsidRDefault="0091661D" w:rsidP="0091661D">
            <w:pPr>
              <w:rPr>
                <w:sz w:val="18"/>
                <w:szCs w:val="18"/>
              </w:rPr>
            </w:pPr>
            <w:r w:rsidRPr="68B19744">
              <w:rPr>
                <w:sz w:val="18"/>
                <w:szCs w:val="18"/>
              </w:rPr>
              <w:t>4</w:t>
            </w:r>
            <w:r>
              <w:rPr>
                <w:sz w:val="18"/>
                <w:szCs w:val="18"/>
              </w:rPr>
              <w:t>5</w:t>
            </w:r>
          </w:p>
        </w:tc>
        <w:tc>
          <w:tcPr>
            <w:tcW w:w="2190" w:type="dxa"/>
          </w:tcPr>
          <w:p w14:paraId="01AF54CC" w14:textId="12D0EC78" w:rsidR="0091661D" w:rsidRPr="002426C5" w:rsidRDefault="0091661D" w:rsidP="0091661D">
            <w:pPr>
              <w:rPr>
                <w:b/>
                <w:bCs/>
                <w:sz w:val="18"/>
                <w:szCs w:val="18"/>
              </w:rPr>
            </w:pPr>
            <w:r w:rsidRPr="002426C5">
              <w:rPr>
                <w:b/>
                <w:bCs/>
                <w:sz w:val="18"/>
                <w:szCs w:val="18"/>
              </w:rPr>
              <w:t>Mobile Tel:</w:t>
            </w:r>
          </w:p>
        </w:tc>
        <w:tc>
          <w:tcPr>
            <w:tcW w:w="3259" w:type="dxa"/>
            <w:gridSpan w:val="2"/>
          </w:tcPr>
          <w:p w14:paraId="3E54DA72" w14:textId="740C81FF" w:rsidR="0091661D" w:rsidRPr="002426C5" w:rsidRDefault="0091661D" w:rsidP="0091661D">
            <w:pPr>
              <w:rPr>
                <w:sz w:val="18"/>
                <w:szCs w:val="18"/>
              </w:rPr>
            </w:pPr>
            <w:r w:rsidRPr="002426C5">
              <w:rPr>
                <w:sz w:val="18"/>
                <w:szCs w:val="18"/>
              </w:rPr>
              <w:t>+44 7568 605330</w:t>
            </w:r>
          </w:p>
        </w:tc>
      </w:tr>
      <w:tr w:rsidR="0091661D" w:rsidRPr="002426C5" w14:paraId="08F1C0EF" w14:textId="77777777" w:rsidTr="0091661D">
        <w:trPr>
          <w:trHeight w:val="542"/>
        </w:trPr>
        <w:tc>
          <w:tcPr>
            <w:tcW w:w="1254" w:type="dxa"/>
          </w:tcPr>
          <w:p w14:paraId="2007BA0D" w14:textId="77777777" w:rsidR="0091661D" w:rsidRPr="002426C5" w:rsidRDefault="0091661D" w:rsidP="0091661D">
            <w:pPr>
              <w:rPr>
                <w:b/>
                <w:bCs/>
                <w:sz w:val="18"/>
                <w:szCs w:val="18"/>
              </w:rPr>
            </w:pPr>
            <w:r w:rsidRPr="002426C5">
              <w:rPr>
                <w:b/>
                <w:bCs/>
                <w:sz w:val="18"/>
                <w:szCs w:val="18"/>
              </w:rPr>
              <w:t>Home Address</w:t>
            </w:r>
          </w:p>
        </w:tc>
        <w:tc>
          <w:tcPr>
            <w:tcW w:w="3283" w:type="dxa"/>
          </w:tcPr>
          <w:p w14:paraId="63795173" w14:textId="0F381693" w:rsidR="0091661D" w:rsidRPr="002426C5" w:rsidRDefault="0091661D" w:rsidP="0091661D">
            <w:pPr>
              <w:rPr>
                <w:sz w:val="18"/>
                <w:szCs w:val="18"/>
              </w:rPr>
            </w:pPr>
            <w:r w:rsidRPr="68B19744">
              <w:rPr>
                <w:sz w:val="18"/>
                <w:szCs w:val="18"/>
              </w:rPr>
              <w:t>White Gables, Bagshot R</w:t>
            </w:r>
            <w:r>
              <w:rPr>
                <w:sz w:val="18"/>
                <w:szCs w:val="18"/>
              </w:rPr>
              <w:t>d</w:t>
            </w:r>
            <w:r w:rsidRPr="68B19744">
              <w:rPr>
                <w:sz w:val="18"/>
                <w:szCs w:val="18"/>
              </w:rPr>
              <w:t xml:space="preserve">, Chobham, Woking, Surrey GU24 8SJ </w:t>
            </w:r>
          </w:p>
        </w:tc>
        <w:tc>
          <w:tcPr>
            <w:tcW w:w="2190" w:type="dxa"/>
          </w:tcPr>
          <w:p w14:paraId="4036829E" w14:textId="09E3361D" w:rsidR="0091661D" w:rsidRPr="002426C5" w:rsidRDefault="0091661D" w:rsidP="0091661D">
            <w:pPr>
              <w:rPr>
                <w:b/>
                <w:bCs/>
                <w:sz w:val="18"/>
                <w:szCs w:val="18"/>
              </w:rPr>
            </w:pPr>
            <w:r w:rsidRPr="002426C5">
              <w:rPr>
                <w:b/>
                <w:bCs/>
                <w:sz w:val="18"/>
                <w:szCs w:val="18"/>
              </w:rPr>
              <w:t>Personal Email:</w:t>
            </w:r>
          </w:p>
        </w:tc>
        <w:tc>
          <w:tcPr>
            <w:tcW w:w="3259" w:type="dxa"/>
            <w:gridSpan w:val="2"/>
          </w:tcPr>
          <w:p w14:paraId="063DB913" w14:textId="6C9FBCD1" w:rsidR="0091661D" w:rsidRPr="002426C5" w:rsidRDefault="0091661D" w:rsidP="0091661D">
            <w:pPr>
              <w:rPr>
                <w:sz w:val="18"/>
                <w:szCs w:val="18"/>
              </w:rPr>
            </w:pPr>
            <w:r w:rsidRPr="002426C5">
              <w:rPr>
                <w:sz w:val="18"/>
                <w:szCs w:val="18"/>
              </w:rPr>
              <w:t>simonhudd78@gmail.com</w:t>
            </w:r>
          </w:p>
        </w:tc>
      </w:tr>
    </w:tbl>
    <w:p w14:paraId="403E0636" w14:textId="77777777" w:rsidR="00A47D70" w:rsidRPr="002426C5" w:rsidRDefault="00A47D70" w:rsidP="00EF1873">
      <w:pPr>
        <w:rPr>
          <w:sz w:val="18"/>
          <w:szCs w:val="18"/>
        </w:rPr>
      </w:pPr>
    </w:p>
    <w:sectPr w:rsidR="00A47D70" w:rsidRPr="002426C5" w:rsidSect="00B2203D">
      <w:pgSz w:w="11906" w:h="16838"/>
      <w:pgMar w:top="426" w:right="1416" w:bottom="993"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144C" w14:textId="77777777" w:rsidR="00144DD5" w:rsidRDefault="00144DD5" w:rsidP="000662E2">
      <w:pPr>
        <w:spacing w:after="0" w:line="240" w:lineRule="auto"/>
      </w:pPr>
      <w:r>
        <w:separator/>
      </w:r>
    </w:p>
  </w:endnote>
  <w:endnote w:type="continuationSeparator" w:id="0">
    <w:p w14:paraId="1909C306" w14:textId="77777777" w:rsidR="00144DD5" w:rsidRDefault="00144DD5"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MT">
    <w:altName w:val="Garamond"/>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B2FE" w14:textId="77777777" w:rsidR="00144DD5" w:rsidRDefault="00144DD5" w:rsidP="000662E2">
      <w:pPr>
        <w:spacing w:after="0" w:line="240" w:lineRule="auto"/>
      </w:pPr>
      <w:r>
        <w:separator/>
      </w:r>
    </w:p>
  </w:footnote>
  <w:footnote w:type="continuationSeparator" w:id="0">
    <w:p w14:paraId="12C43AE2" w14:textId="77777777" w:rsidR="00144DD5" w:rsidRDefault="00144DD5" w:rsidP="00066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6C09B76"/>
    <w:lvl w:ilvl="0">
      <w:start w:val="1"/>
      <w:numFmt w:val="decimal"/>
      <w:pStyle w:val="ListNumber"/>
      <w:lvlText w:val="%1."/>
      <w:lvlJc w:val="left"/>
      <w:pPr>
        <w:tabs>
          <w:tab w:val="num" w:pos="360"/>
        </w:tabs>
        <w:ind w:left="360" w:hanging="360"/>
      </w:pPr>
    </w:lvl>
  </w:abstractNum>
  <w:abstractNum w:abstractNumId="1" w15:restartNumberingAfterBreak="0">
    <w:nsid w:val="13376488"/>
    <w:multiLevelType w:val="hybridMultilevel"/>
    <w:tmpl w:val="0E2ABA42"/>
    <w:lvl w:ilvl="0" w:tplc="0318034E">
      <w:start w:val="1"/>
      <w:numFmt w:val="bullet"/>
      <w:lvlText w:val="-"/>
      <w:lvlJc w:val="left"/>
      <w:pPr>
        <w:ind w:left="720" w:hanging="360"/>
      </w:pPr>
      <w:rPr>
        <w:rFonts w:ascii="Calibri" w:hAnsi="Calibri" w:hint="default"/>
      </w:rPr>
    </w:lvl>
    <w:lvl w:ilvl="1" w:tplc="0BEA89AE">
      <w:start w:val="1"/>
      <w:numFmt w:val="bullet"/>
      <w:lvlText w:val="o"/>
      <w:lvlJc w:val="left"/>
      <w:pPr>
        <w:ind w:left="1440" w:hanging="360"/>
      </w:pPr>
      <w:rPr>
        <w:rFonts w:ascii="Courier New" w:hAnsi="Courier New" w:hint="default"/>
      </w:rPr>
    </w:lvl>
    <w:lvl w:ilvl="2" w:tplc="5A840F02">
      <w:start w:val="1"/>
      <w:numFmt w:val="bullet"/>
      <w:lvlText w:val=""/>
      <w:lvlJc w:val="left"/>
      <w:pPr>
        <w:ind w:left="2160" w:hanging="360"/>
      </w:pPr>
      <w:rPr>
        <w:rFonts w:ascii="Wingdings" w:hAnsi="Wingdings" w:hint="default"/>
      </w:rPr>
    </w:lvl>
    <w:lvl w:ilvl="3" w:tplc="32762248">
      <w:start w:val="1"/>
      <w:numFmt w:val="bullet"/>
      <w:lvlText w:val=""/>
      <w:lvlJc w:val="left"/>
      <w:pPr>
        <w:ind w:left="2880" w:hanging="360"/>
      </w:pPr>
      <w:rPr>
        <w:rFonts w:ascii="Symbol" w:hAnsi="Symbol" w:hint="default"/>
      </w:rPr>
    </w:lvl>
    <w:lvl w:ilvl="4" w:tplc="AEEC4094">
      <w:start w:val="1"/>
      <w:numFmt w:val="bullet"/>
      <w:lvlText w:val="o"/>
      <w:lvlJc w:val="left"/>
      <w:pPr>
        <w:ind w:left="3600" w:hanging="360"/>
      </w:pPr>
      <w:rPr>
        <w:rFonts w:ascii="Courier New" w:hAnsi="Courier New" w:hint="default"/>
      </w:rPr>
    </w:lvl>
    <w:lvl w:ilvl="5" w:tplc="C6CC36A6">
      <w:start w:val="1"/>
      <w:numFmt w:val="bullet"/>
      <w:lvlText w:val=""/>
      <w:lvlJc w:val="left"/>
      <w:pPr>
        <w:ind w:left="4320" w:hanging="360"/>
      </w:pPr>
      <w:rPr>
        <w:rFonts w:ascii="Wingdings" w:hAnsi="Wingdings" w:hint="default"/>
      </w:rPr>
    </w:lvl>
    <w:lvl w:ilvl="6" w:tplc="E8128412">
      <w:start w:val="1"/>
      <w:numFmt w:val="bullet"/>
      <w:lvlText w:val=""/>
      <w:lvlJc w:val="left"/>
      <w:pPr>
        <w:ind w:left="5040" w:hanging="360"/>
      </w:pPr>
      <w:rPr>
        <w:rFonts w:ascii="Symbol" w:hAnsi="Symbol" w:hint="default"/>
      </w:rPr>
    </w:lvl>
    <w:lvl w:ilvl="7" w:tplc="4482BB72">
      <w:start w:val="1"/>
      <w:numFmt w:val="bullet"/>
      <w:lvlText w:val="o"/>
      <w:lvlJc w:val="left"/>
      <w:pPr>
        <w:ind w:left="5760" w:hanging="360"/>
      </w:pPr>
      <w:rPr>
        <w:rFonts w:ascii="Courier New" w:hAnsi="Courier New" w:hint="default"/>
      </w:rPr>
    </w:lvl>
    <w:lvl w:ilvl="8" w:tplc="79403012">
      <w:start w:val="1"/>
      <w:numFmt w:val="bullet"/>
      <w:lvlText w:val=""/>
      <w:lvlJc w:val="left"/>
      <w:pPr>
        <w:ind w:left="6480" w:hanging="360"/>
      </w:pPr>
      <w:rPr>
        <w:rFonts w:ascii="Wingdings" w:hAnsi="Wingdings" w:hint="default"/>
      </w:rPr>
    </w:lvl>
  </w:abstractNum>
  <w:abstractNum w:abstractNumId="2" w15:restartNumberingAfterBreak="0">
    <w:nsid w:val="41343742"/>
    <w:multiLevelType w:val="hybridMultilevel"/>
    <w:tmpl w:val="27EE40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6153557">
    <w:abstractNumId w:val="1"/>
  </w:num>
  <w:num w:numId="2" w16cid:durableId="1047727846">
    <w:abstractNumId w:val="2"/>
  </w:num>
  <w:num w:numId="3" w16cid:durableId="106942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70"/>
    <w:rsid w:val="0006143B"/>
    <w:rsid w:val="000662E2"/>
    <w:rsid w:val="000D18B5"/>
    <w:rsid w:val="000D7EFD"/>
    <w:rsid w:val="001368DB"/>
    <w:rsid w:val="00144DD5"/>
    <w:rsid w:val="00166ABB"/>
    <w:rsid w:val="0016C228"/>
    <w:rsid w:val="00183E0F"/>
    <w:rsid w:val="001B0969"/>
    <w:rsid w:val="002375C1"/>
    <w:rsid w:val="002426C5"/>
    <w:rsid w:val="00245960"/>
    <w:rsid w:val="00281827"/>
    <w:rsid w:val="002C4508"/>
    <w:rsid w:val="002C7EAC"/>
    <w:rsid w:val="002F0840"/>
    <w:rsid w:val="0032243D"/>
    <w:rsid w:val="003B331B"/>
    <w:rsid w:val="003B3367"/>
    <w:rsid w:val="004104B3"/>
    <w:rsid w:val="0048446A"/>
    <w:rsid w:val="004A5FEA"/>
    <w:rsid w:val="004D651C"/>
    <w:rsid w:val="00515800"/>
    <w:rsid w:val="005243F5"/>
    <w:rsid w:val="00536694"/>
    <w:rsid w:val="0054790E"/>
    <w:rsid w:val="005756C5"/>
    <w:rsid w:val="00596081"/>
    <w:rsid w:val="005E31BC"/>
    <w:rsid w:val="006138EB"/>
    <w:rsid w:val="0068191E"/>
    <w:rsid w:val="00757845"/>
    <w:rsid w:val="007A037C"/>
    <w:rsid w:val="00810B72"/>
    <w:rsid w:val="0084563F"/>
    <w:rsid w:val="00873EB3"/>
    <w:rsid w:val="00885C8D"/>
    <w:rsid w:val="0091661D"/>
    <w:rsid w:val="009635BA"/>
    <w:rsid w:val="0097007F"/>
    <w:rsid w:val="009729E4"/>
    <w:rsid w:val="00A47D70"/>
    <w:rsid w:val="00A875D3"/>
    <w:rsid w:val="00B2203D"/>
    <w:rsid w:val="00B41C8F"/>
    <w:rsid w:val="00B51603"/>
    <w:rsid w:val="00BB7698"/>
    <w:rsid w:val="00BF25C9"/>
    <w:rsid w:val="00C05B8F"/>
    <w:rsid w:val="00C30E57"/>
    <w:rsid w:val="00C75A91"/>
    <w:rsid w:val="00C83CFA"/>
    <w:rsid w:val="00CC129B"/>
    <w:rsid w:val="00CF5AE8"/>
    <w:rsid w:val="00D131F2"/>
    <w:rsid w:val="00D6742B"/>
    <w:rsid w:val="00DA2297"/>
    <w:rsid w:val="00DF3CEA"/>
    <w:rsid w:val="00E2302C"/>
    <w:rsid w:val="00E24780"/>
    <w:rsid w:val="00E52E9D"/>
    <w:rsid w:val="00E64E54"/>
    <w:rsid w:val="00E6549E"/>
    <w:rsid w:val="00EF1873"/>
    <w:rsid w:val="01943F2D"/>
    <w:rsid w:val="01C16F80"/>
    <w:rsid w:val="01E28F00"/>
    <w:rsid w:val="02B6EFAA"/>
    <w:rsid w:val="03300F8E"/>
    <w:rsid w:val="035D3FE1"/>
    <w:rsid w:val="0461FD51"/>
    <w:rsid w:val="05950340"/>
    <w:rsid w:val="0BF04766"/>
    <w:rsid w:val="0D8C17C7"/>
    <w:rsid w:val="0F27E828"/>
    <w:rsid w:val="13BE9C05"/>
    <w:rsid w:val="14FC986F"/>
    <w:rsid w:val="159729AC"/>
    <w:rsid w:val="19216F64"/>
    <w:rsid w:val="19DFD256"/>
    <w:rsid w:val="1AE8AAAB"/>
    <w:rsid w:val="1BF2BEB7"/>
    <w:rsid w:val="1BF9EB1E"/>
    <w:rsid w:val="1C310AD2"/>
    <w:rsid w:val="1C3D44FE"/>
    <w:rsid w:val="1F0799D4"/>
    <w:rsid w:val="1F851D42"/>
    <w:rsid w:val="2022BE22"/>
    <w:rsid w:val="20791D42"/>
    <w:rsid w:val="208EC8DE"/>
    <w:rsid w:val="2232916A"/>
    <w:rsid w:val="23A80CA7"/>
    <w:rsid w:val="262CF2C8"/>
    <w:rsid w:val="29FF1970"/>
    <w:rsid w:val="2A599D12"/>
    <w:rsid w:val="2A9085FC"/>
    <w:rsid w:val="2B73214A"/>
    <w:rsid w:val="2BB82CC6"/>
    <w:rsid w:val="2BEC1A24"/>
    <w:rsid w:val="2DE5C184"/>
    <w:rsid w:val="314131D6"/>
    <w:rsid w:val="32E662FA"/>
    <w:rsid w:val="33B77D6E"/>
    <w:rsid w:val="34550308"/>
    <w:rsid w:val="35CBD4DB"/>
    <w:rsid w:val="3928742B"/>
    <w:rsid w:val="3AD02B74"/>
    <w:rsid w:val="3BB11A61"/>
    <w:rsid w:val="407CD819"/>
    <w:rsid w:val="43B478DB"/>
    <w:rsid w:val="461A8690"/>
    <w:rsid w:val="46B012EB"/>
    <w:rsid w:val="48D1F33C"/>
    <w:rsid w:val="4B8828D9"/>
    <w:rsid w:val="51EEBF3D"/>
    <w:rsid w:val="55240850"/>
    <w:rsid w:val="57E16E4B"/>
    <w:rsid w:val="58EF689F"/>
    <w:rsid w:val="59DE8B01"/>
    <w:rsid w:val="5A49EB0B"/>
    <w:rsid w:val="5A4D88F4"/>
    <w:rsid w:val="5A97A3E8"/>
    <w:rsid w:val="5ACB53EB"/>
    <w:rsid w:val="5E4C1981"/>
    <w:rsid w:val="5ED1CCE1"/>
    <w:rsid w:val="640BE50B"/>
    <w:rsid w:val="68B19744"/>
    <w:rsid w:val="6D4734F2"/>
    <w:rsid w:val="6EE4E321"/>
    <w:rsid w:val="73C2ECD3"/>
    <w:rsid w:val="73DC9968"/>
    <w:rsid w:val="7819EA75"/>
    <w:rsid w:val="7B6B5658"/>
    <w:rsid w:val="7BD23615"/>
    <w:rsid w:val="7D0726B9"/>
    <w:rsid w:val="7D530C6B"/>
    <w:rsid w:val="7E58D55D"/>
    <w:rsid w:val="7F09D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9B3C6"/>
  <w15:chartTrackingRefBased/>
  <w15:docId w15:val="{B5842A79-C62A-49B6-9585-95F337A4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t-line-clampline">
    <w:name w:val="lt-line-clamp__line"/>
    <w:basedOn w:val="DefaultParagraphFont"/>
    <w:rsid w:val="00A47D70"/>
  </w:style>
  <w:style w:type="character" w:styleId="Strong">
    <w:name w:val="Strong"/>
    <w:basedOn w:val="DefaultParagraphFont"/>
    <w:uiPriority w:val="22"/>
    <w:qFormat/>
    <w:rsid w:val="00E64E54"/>
    <w:rPr>
      <w:b/>
      <w:bCs/>
    </w:rPr>
  </w:style>
  <w:style w:type="paragraph" w:styleId="ListNumber">
    <w:name w:val="List Number"/>
    <w:basedOn w:val="Normal"/>
    <w:rsid w:val="00B51603"/>
    <w:pPr>
      <w:numPr>
        <w:numId w:val="3"/>
      </w:numPr>
      <w:spacing w:after="0" w:line="240" w:lineRule="auto"/>
    </w:pPr>
    <w:rPr>
      <w:rFonts w:ascii="Garamond MT" w:eastAsia="Times New Roman" w:hAnsi="Garamond MT" w:cs="Times New Roman"/>
      <w:sz w:val="24"/>
      <w:szCs w:val="24"/>
    </w:rPr>
  </w:style>
  <w:style w:type="character" w:styleId="Hyperlink">
    <w:name w:val="Hyperlink"/>
    <w:basedOn w:val="DefaultParagraphFont"/>
    <w:uiPriority w:val="99"/>
    <w:semiHidden/>
    <w:unhideWhenUsed/>
    <w:rsid w:val="004D651C"/>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66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2E2"/>
  </w:style>
  <w:style w:type="paragraph" w:styleId="Footer">
    <w:name w:val="footer"/>
    <w:basedOn w:val="Normal"/>
    <w:link w:val="FooterChar"/>
    <w:uiPriority w:val="99"/>
    <w:unhideWhenUsed/>
    <w:rsid w:val="00066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simon-hudd-law/"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Hudd</dc:creator>
  <cp:keywords/>
  <dc:description/>
  <cp:lastModifiedBy>Simon Hudd</cp:lastModifiedBy>
  <cp:revision>3</cp:revision>
  <cp:lastPrinted>2021-08-25T15:32:00Z</cp:lastPrinted>
  <dcterms:created xsi:type="dcterms:W3CDTF">2023-11-08T12:07:00Z</dcterms:created>
  <dcterms:modified xsi:type="dcterms:W3CDTF">2023-11-08T12:12:00Z</dcterms:modified>
</cp:coreProperties>
</file>