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E7BEC" w14:textId="77777777" w:rsidR="001734B0" w:rsidRPr="007906E2" w:rsidRDefault="00754C51" w:rsidP="007721F5">
      <w:pPr>
        <w:jc w:val="center"/>
        <w:rPr>
          <w:b/>
          <w:bCs/>
          <w:sz w:val="22"/>
          <w:szCs w:val="22"/>
        </w:rPr>
      </w:pPr>
      <w:r>
        <w:rPr>
          <w:b/>
          <w:bCs/>
          <w:sz w:val="22"/>
          <w:szCs w:val="22"/>
        </w:rPr>
        <w:t>D</w:t>
      </w:r>
      <w:r w:rsidR="00C42819">
        <w:rPr>
          <w:b/>
          <w:bCs/>
          <w:sz w:val="22"/>
          <w:szCs w:val="22"/>
        </w:rPr>
        <w:t>A</w:t>
      </w:r>
      <w:r>
        <w:rPr>
          <w:b/>
          <w:bCs/>
          <w:sz w:val="22"/>
          <w:szCs w:val="22"/>
        </w:rPr>
        <w:t>VID GRUNDY</w:t>
      </w:r>
      <w:r w:rsidR="007906E2" w:rsidRPr="007906E2">
        <w:rPr>
          <w:b/>
          <w:bCs/>
          <w:sz w:val="22"/>
          <w:szCs w:val="22"/>
        </w:rPr>
        <w:br/>
      </w:r>
      <w:r w:rsidR="001843DA">
        <w:rPr>
          <w:bCs/>
          <w:i/>
          <w:sz w:val="22"/>
          <w:szCs w:val="22"/>
        </w:rPr>
        <w:t>david</w:t>
      </w:r>
      <w:r w:rsidR="006F1D17">
        <w:rPr>
          <w:bCs/>
          <w:i/>
          <w:sz w:val="22"/>
          <w:szCs w:val="22"/>
        </w:rPr>
        <w:t>.</w:t>
      </w:r>
      <w:r w:rsidR="001843DA">
        <w:rPr>
          <w:bCs/>
          <w:i/>
          <w:sz w:val="22"/>
          <w:szCs w:val="22"/>
        </w:rPr>
        <w:t>grundy@</w:t>
      </w:r>
      <w:r w:rsidR="006F1D17">
        <w:rPr>
          <w:bCs/>
          <w:i/>
          <w:sz w:val="22"/>
          <w:szCs w:val="22"/>
        </w:rPr>
        <w:t>242associates</w:t>
      </w:r>
      <w:r w:rsidR="001843DA">
        <w:rPr>
          <w:bCs/>
          <w:i/>
          <w:sz w:val="22"/>
          <w:szCs w:val="22"/>
        </w:rPr>
        <w:t>.com</w:t>
      </w:r>
      <w:r w:rsidR="007906E2" w:rsidRPr="00C42819">
        <w:rPr>
          <w:bCs/>
          <w:i/>
          <w:sz w:val="22"/>
          <w:szCs w:val="22"/>
        </w:rPr>
        <w:t xml:space="preserve"> | 07</w:t>
      </w:r>
      <w:r>
        <w:rPr>
          <w:bCs/>
          <w:i/>
          <w:sz w:val="22"/>
          <w:szCs w:val="22"/>
        </w:rPr>
        <w:t>966 197399</w:t>
      </w:r>
      <w:r w:rsidR="007906E2" w:rsidRPr="00C42819">
        <w:rPr>
          <w:bCs/>
          <w:i/>
          <w:sz w:val="22"/>
          <w:szCs w:val="22"/>
        </w:rPr>
        <w:br/>
      </w:r>
      <w:r w:rsidR="00313A32">
        <w:rPr>
          <w:bCs/>
          <w:i/>
          <w:sz w:val="22"/>
          <w:szCs w:val="22"/>
        </w:rPr>
        <w:t>1</w:t>
      </w:r>
      <w:r w:rsidR="005055C3">
        <w:rPr>
          <w:bCs/>
          <w:i/>
          <w:sz w:val="22"/>
          <w:szCs w:val="22"/>
        </w:rPr>
        <w:t>4 Kayfields, Bolton,</w:t>
      </w:r>
      <w:r w:rsidR="00313A32">
        <w:rPr>
          <w:bCs/>
          <w:i/>
          <w:sz w:val="22"/>
          <w:szCs w:val="22"/>
        </w:rPr>
        <w:t xml:space="preserve"> BL</w:t>
      </w:r>
      <w:r w:rsidR="005055C3">
        <w:rPr>
          <w:bCs/>
          <w:i/>
          <w:sz w:val="22"/>
          <w:szCs w:val="22"/>
        </w:rPr>
        <w:t>2 4DY</w:t>
      </w:r>
      <w:r w:rsidR="007F0391">
        <w:rPr>
          <w:bCs/>
          <w:i/>
          <w:sz w:val="22"/>
          <w:szCs w:val="22"/>
        </w:rPr>
        <w:br/>
      </w:r>
    </w:p>
    <w:p w14:paraId="6634DD35" w14:textId="77777777" w:rsidR="001734B0" w:rsidRPr="007906E2" w:rsidRDefault="001734B0" w:rsidP="001734B0">
      <w:pPr>
        <w:rPr>
          <w:b/>
          <w:bCs/>
          <w:sz w:val="22"/>
          <w:szCs w:val="22"/>
        </w:rPr>
      </w:pPr>
    </w:p>
    <w:p w14:paraId="1517173E" w14:textId="77777777" w:rsidR="007906E2" w:rsidRPr="007906E2" w:rsidRDefault="007906E2" w:rsidP="001734B0">
      <w:pPr>
        <w:rPr>
          <w:b/>
          <w:bCs/>
          <w:sz w:val="22"/>
          <w:szCs w:val="22"/>
        </w:rPr>
      </w:pPr>
      <w:r>
        <w:rPr>
          <w:b/>
          <w:bCs/>
          <w:sz w:val="22"/>
          <w:szCs w:val="22"/>
        </w:rPr>
        <w:t>P</w:t>
      </w:r>
      <w:r w:rsidR="00C42819">
        <w:rPr>
          <w:b/>
          <w:bCs/>
          <w:sz w:val="22"/>
          <w:szCs w:val="22"/>
        </w:rPr>
        <w:t>ERSONAL STATEMENT</w:t>
      </w:r>
    </w:p>
    <w:p w14:paraId="31E368F6" w14:textId="77777777" w:rsidR="006B10AF" w:rsidRDefault="00AF52C2" w:rsidP="006B433F">
      <w:pPr>
        <w:rPr>
          <w:bCs/>
          <w:sz w:val="22"/>
          <w:szCs w:val="22"/>
        </w:rPr>
      </w:pPr>
      <w:r>
        <w:rPr>
          <w:bCs/>
          <w:sz w:val="22"/>
          <w:szCs w:val="22"/>
        </w:rPr>
        <w:t xml:space="preserve">A </w:t>
      </w:r>
      <w:r w:rsidR="001843DA">
        <w:rPr>
          <w:bCs/>
          <w:sz w:val="22"/>
          <w:szCs w:val="22"/>
        </w:rPr>
        <w:t>2</w:t>
      </w:r>
      <w:r w:rsidR="006B10AF">
        <w:rPr>
          <w:bCs/>
          <w:sz w:val="22"/>
          <w:szCs w:val="22"/>
        </w:rPr>
        <w:t>5</w:t>
      </w:r>
      <w:r w:rsidR="001843DA">
        <w:rPr>
          <w:bCs/>
          <w:sz w:val="22"/>
          <w:szCs w:val="22"/>
        </w:rPr>
        <w:t>-year experienced financial profess</w:t>
      </w:r>
      <w:r w:rsidR="006B10AF">
        <w:rPr>
          <w:bCs/>
          <w:sz w:val="22"/>
          <w:szCs w:val="22"/>
        </w:rPr>
        <w:t xml:space="preserve">ional, with extensive </w:t>
      </w:r>
      <w:r w:rsidR="001843DA">
        <w:rPr>
          <w:bCs/>
          <w:sz w:val="22"/>
          <w:szCs w:val="22"/>
        </w:rPr>
        <w:t xml:space="preserve">business management credentials. </w:t>
      </w:r>
    </w:p>
    <w:p w14:paraId="7C3E6B1F" w14:textId="77777777" w:rsidR="006B10AF" w:rsidRDefault="006B10AF" w:rsidP="006B433F">
      <w:pPr>
        <w:rPr>
          <w:bCs/>
          <w:sz w:val="22"/>
          <w:szCs w:val="22"/>
        </w:rPr>
      </w:pPr>
    </w:p>
    <w:p w14:paraId="01A08897" w14:textId="77777777" w:rsidR="006B10AF" w:rsidRDefault="006F1D17" w:rsidP="006B433F">
      <w:pPr>
        <w:rPr>
          <w:bCs/>
          <w:sz w:val="22"/>
          <w:szCs w:val="22"/>
        </w:rPr>
      </w:pPr>
      <w:r>
        <w:rPr>
          <w:bCs/>
          <w:sz w:val="22"/>
          <w:szCs w:val="22"/>
        </w:rPr>
        <w:t>A</w:t>
      </w:r>
      <w:r w:rsidR="006B10AF">
        <w:rPr>
          <w:bCs/>
          <w:sz w:val="22"/>
          <w:szCs w:val="22"/>
        </w:rPr>
        <w:t>s a partner in Grant Thornton, mid-market corporate finance experience included both public and private transactions, within the UK and overseas, bringing financial acumen and commercial flair to maximisation of shareholder value.  Beyond client service, various management roles were also undertaken, most recently NW Managing Partner, responsible for a £30m revenue, 350 staff unit, returning the region to its pre-eminent position as one of the firm's largest and most vibrant practices.</w:t>
      </w:r>
    </w:p>
    <w:p w14:paraId="06A4B3F1" w14:textId="77777777" w:rsidR="006B10AF" w:rsidRDefault="006B10AF" w:rsidP="006B433F">
      <w:pPr>
        <w:rPr>
          <w:bCs/>
          <w:sz w:val="22"/>
          <w:szCs w:val="22"/>
        </w:rPr>
      </w:pPr>
    </w:p>
    <w:p w14:paraId="7797E909" w14:textId="34D3B399" w:rsidR="006F1D17" w:rsidRDefault="006B10AF" w:rsidP="006B433F">
      <w:pPr>
        <w:rPr>
          <w:bCs/>
          <w:sz w:val="22"/>
          <w:szCs w:val="22"/>
        </w:rPr>
      </w:pPr>
      <w:r>
        <w:rPr>
          <w:bCs/>
          <w:sz w:val="22"/>
          <w:szCs w:val="22"/>
        </w:rPr>
        <w:t>Having left the profession in 2012</w:t>
      </w:r>
      <w:r w:rsidR="00025A57">
        <w:rPr>
          <w:bCs/>
          <w:sz w:val="22"/>
          <w:szCs w:val="22"/>
        </w:rPr>
        <w:t xml:space="preserve"> to establish</w:t>
      </w:r>
      <w:r w:rsidR="006F1D17">
        <w:rPr>
          <w:bCs/>
          <w:sz w:val="22"/>
          <w:szCs w:val="22"/>
        </w:rPr>
        <w:t xml:space="preserve"> an independent financial consultancy business</w:t>
      </w:r>
      <w:r w:rsidR="008752E3">
        <w:rPr>
          <w:bCs/>
          <w:sz w:val="22"/>
          <w:szCs w:val="22"/>
        </w:rPr>
        <w:t xml:space="preserve"> (242 Associates LLP)</w:t>
      </w:r>
      <w:r w:rsidR="00025A57">
        <w:rPr>
          <w:bCs/>
          <w:sz w:val="22"/>
          <w:szCs w:val="22"/>
        </w:rPr>
        <w:t xml:space="preserve">, </w:t>
      </w:r>
      <w:r w:rsidR="00EB4158">
        <w:rPr>
          <w:bCs/>
          <w:sz w:val="22"/>
          <w:szCs w:val="22"/>
        </w:rPr>
        <w:t xml:space="preserve">roles </w:t>
      </w:r>
      <w:r w:rsidR="00E47D1D">
        <w:rPr>
          <w:bCs/>
          <w:sz w:val="22"/>
          <w:szCs w:val="22"/>
        </w:rPr>
        <w:t>are primarily</w:t>
      </w:r>
      <w:r w:rsidR="00EB4158">
        <w:rPr>
          <w:bCs/>
          <w:sz w:val="22"/>
          <w:szCs w:val="22"/>
        </w:rPr>
        <w:t xml:space="preserve"> NED appointments </w:t>
      </w:r>
      <w:r w:rsidR="006D5204">
        <w:rPr>
          <w:bCs/>
          <w:sz w:val="22"/>
          <w:szCs w:val="22"/>
        </w:rPr>
        <w:t>(traditional and NED+, with enhanced time commitment to supplement financial expertise at board level</w:t>
      </w:r>
      <w:r w:rsidR="003D5ADA">
        <w:rPr>
          <w:bCs/>
          <w:sz w:val="22"/>
          <w:szCs w:val="22"/>
        </w:rPr>
        <w:t>)</w:t>
      </w:r>
      <w:r w:rsidR="008E05DB">
        <w:rPr>
          <w:bCs/>
          <w:sz w:val="22"/>
          <w:szCs w:val="22"/>
        </w:rPr>
        <w:t xml:space="preserve">, along with </w:t>
      </w:r>
      <w:r w:rsidR="00EB4158">
        <w:rPr>
          <w:bCs/>
          <w:sz w:val="22"/>
          <w:szCs w:val="22"/>
        </w:rPr>
        <w:t>a</w:t>
      </w:r>
      <w:r w:rsidR="006D5204">
        <w:rPr>
          <w:bCs/>
          <w:sz w:val="22"/>
          <w:szCs w:val="22"/>
        </w:rPr>
        <w:t>long</w:t>
      </w:r>
      <w:r w:rsidR="00EB4158">
        <w:rPr>
          <w:bCs/>
          <w:sz w:val="22"/>
          <w:szCs w:val="22"/>
        </w:rPr>
        <w:t xml:space="preserve"> personal investments</w:t>
      </w:r>
      <w:r w:rsidR="008E05DB">
        <w:rPr>
          <w:bCs/>
          <w:sz w:val="22"/>
          <w:szCs w:val="22"/>
        </w:rPr>
        <w:t xml:space="preserve"> and start-up involvement</w:t>
      </w:r>
      <w:r w:rsidR="006F1D17">
        <w:rPr>
          <w:bCs/>
          <w:sz w:val="22"/>
          <w:szCs w:val="22"/>
        </w:rPr>
        <w:t>.  Key skills revolve around leadership in a change environment, driving strategic planning as well as tactical implementation, creating energy and enthusiasm amongst management and staff to deliver ambitious plans.</w:t>
      </w:r>
    </w:p>
    <w:p w14:paraId="19D3E45B" w14:textId="77777777" w:rsidR="009C7ED2" w:rsidRPr="0048361F" w:rsidRDefault="009C7ED2" w:rsidP="009C7ED2">
      <w:pPr>
        <w:rPr>
          <w:bCs/>
          <w:sz w:val="16"/>
          <w:szCs w:val="16"/>
        </w:rPr>
      </w:pPr>
    </w:p>
    <w:tbl>
      <w:tblPr>
        <w:tblW w:w="9576" w:type="dxa"/>
        <w:tblLook w:val="0000" w:firstRow="0" w:lastRow="0" w:firstColumn="0" w:lastColumn="0" w:noHBand="0" w:noVBand="0"/>
      </w:tblPr>
      <w:tblGrid>
        <w:gridCol w:w="9576"/>
      </w:tblGrid>
      <w:tr w:rsidR="009C7ED2" w:rsidRPr="0048361F" w14:paraId="33B1E732" w14:textId="77777777" w:rsidTr="00E86317">
        <w:trPr>
          <w:cantSplit/>
          <w:trHeight w:hRule="exact" w:val="144"/>
        </w:trPr>
        <w:tc>
          <w:tcPr>
            <w:tcW w:w="9576" w:type="dxa"/>
            <w:tcBorders>
              <w:bottom w:val="single" w:sz="4" w:space="0" w:color="auto"/>
            </w:tcBorders>
            <w:tcMar>
              <w:left w:w="0" w:type="dxa"/>
              <w:right w:w="0" w:type="dxa"/>
            </w:tcMar>
          </w:tcPr>
          <w:p w14:paraId="70EC48CD" w14:textId="77777777" w:rsidR="009C7ED2" w:rsidRPr="0048361F" w:rsidRDefault="009C7ED2" w:rsidP="00E86317">
            <w:pPr>
              <w:jc w:val="both"/>
              <w:rPr>
                <w:rFonts w:cs="Arial"/>
                <w:sz w:val="16"/>
                <w:szCs w:val="16"/>
              </w:rPr>
            </w:pPr>
          </w:p>
        </w:tc>
      </w:tr>
      <w:tr w:rsidR="009C7ED2" w:rsidRPr="0048361F" w14:paraId="3B6469EF" w14:textId="77777777" w:rsidTr="00E86317">
        <w:trPr>
          <w:cantSplit/>
          <w:trHeight w:hRule="exact" w:val="288"/>
        </w:trPr>
        <w:tc>
          <w:tcPr>
            <w:tcW w:w="9576" w:type="dxa"/>
            <w:tcMar>
              <w:left w:w="0" w:type="dxa"/>
              <w:right w:w="0" w:type="dxa"/>
            </w:tcMar>
          </w:tcPr>
          <w:p w14:paraId="4AFF336B" w14:textId="77777777" w:rsidR="009C7ED2" w:rsidRPr="0048361F" w:rsidRDefault="009C7ED2" w:rsidP="00E86317">
            <w:pPr>
              <w:pStyle w:val="Heading8"/>
              <w:numPr>
                <w:ilvl w:val="0"/>
                <w:numId w:val="0"/>
              </w:numPr>
              <w:rPr>
                <w:rFonts w:ascii="Garamond" w:hAnsi="Garamond"/>
                <w:sz w:val="16"/>
                <w:szCs w:val="16"/>
              </w:rPr>
            </w:pPr>
          </w:p>
        </w:tc>
      </w:tr>
    </w:tbl>
    <w:p w14:paraId="1640DC67" w14:textId="77777777" w:rsidR="006F1D17" w:rsidRPr="009C7ED2" w:rsidRDefault="009C7ED2" w:rsidP="006B433F">
      <w:pPr>
        <w:rPr>
          <w:b/>
          <w:bCs/>
          <w:sz w:val="22"/>
          <w:szCs w:val="22"/>
        </w:rPr>
      </w:pPr>
      <w:r>
        <w:rPr>
          <w:b/>
          <w:bCs/>
          <w:sz w:val="22"/>
          <w:szCs w:val="22"/>
        </w:rPr>
        <w:t>CURRENT RO</w:t>
      </w:r>
      <w:r w:rsidR="00387B69">
        <w:rPr>
          <w:b/>
          <w:bCs/>
          <w:sz w:val="22"/>
          <w:szCs w:val="22"/>
        </w:rPr>
        <w:t>LES</w:t>
      </w:r>
    </w:p>
    <w:p w14:paraId="59FCF966" w14:textId="6C34A38E" w:rsidR="002307D2" w:rsidRPr="002307D2" w:rsidRDefault="008752E3" w:rsidP="002307D2">
      <w:pPr>
        <w:pStyle w:val="ListParagraph"/>
        <w:numPr>
          <w:ilvl w:val="0"/>
          <w:numId w:val="50"/>
        </w:numPr>
        <w:rPr>
          <w:bCs/>
          <w:sz w:val="22"/>
          <w:szCs w:val="22"/>
        </w:rPr>
      </w:pPr>
      <w:r>
        <w:rPr>
          <w:bCs/>
          <w:sz w:val="22"/>
          <w:szCs w:val="22"/>
        </w:rPr>
        <w:t>Partner - 242 Associates LLP</w:t>
      </w:r>
      <w:r>
        <w:rPr>
          <w:bCs/>
          <w:sz w:val="22"/>
          <w:szCs w:val="22"/>
        </w:rPr>
        <w:br/>
        <w:t>Project and consultancy services</w:t>
      </w:r>
      <w:r w:rsidR="00387B69">
        <w:rPr>
          <w:bCs/>
          <w:sz w:val="22"/>
          <w:szCs w:val="22"/>
        </w:rPr>
        <w:t>. A</w:t>
      </w:r>
      <w:r>
        <w:rPr>
          <w:bCs/>
          <w:sz w:val="22"/>
          <w:szCs w:val="22"/>
        </w:rPr>
        <w:t>dvising on public and pri</w:t>
      </w:r>
      <w:r w:rsidR="00564B8A">
        <w:rPr>
          <w:bCs/>
          <w:sz w:val="22"/>
          <w:szCs w:val="22"/>
        </w:rPr>
        <w:t>vate transactions</w:t>
      </w:r>
      <w:r w:rsidR="00387B69">
        <w:rPr>
          <w:bCs/>
          <w:sz w:val="22"/>
          <w:szCs w:val="22"/>
        </w:rPr>
        <w:t>, and consulting and mentoring to professional services firms.</w:t>
      </w:r>
      <w:r>
        <w:rPr>
          <w:bCs/>
          <w:sz w:val="22"/>
          <w:szCs w:val="22"/>
        </w:rPr>
        <w:br/>
      </w:r>
    </w:p>
    <w:p w14:paraId="29F31B19" w14:textId="667DA568" w:rsidR="000122E3" w:rsidRDefault="000122E3" w:rsidP="002307D2">
      <w:pPr>
        <w:pStyle w:val="ListParagraph"/>
        <w:numPr>
          <w:ilvl w:val="0"/>
          <w:numId w:val="50"/>
        </w:numPr>
        <w:rPr>
          <w:bCs/>
          <w:sz w:val="22"/>
          <w:szCs w:val="22"/>
        </w:rPr>
      </w:pPr>
      <w:r>
        <w:rPr>
          <w:bCs/>
          <w:sz w:val="22"/>
          <w:szCs w:val="22"/>
        </w:rPr>
        <w:t>Executive Director – Organic Heat Exchangers Ltd</w:t>
      </w:r>
      <w:r>
        <w:rPr>
          <w:bCs/>
          <w:sz w:val="22"/>
          <w:szCs w:val="22"/>
        </w:rPr>
        <w:br/>
        <w:t>Developer of innovative cold thermal storage system to support industrial cooling systems, executive role to oversee all non-engineering activities, including fundraising.</w:t>
      </w:r>
      <w:r>
        <w:rPr>
          <w:bCs/>
          <w:sz w:val="22"/>
          <w:szCs w:val="22"/>
        </w:rPr>
        <w:br/>
      </w:r>
    </w:p>
    <w:p w14:paraId="0BE5D826" w14:textId="43DDA8A9" w:rsidR="008E05DB" w:rsidRPr="000122E3" w:rsidRDefault="00365D77" w:rsidP="000122E3">
      <w:pPr>
        <w:pStyle w:val="ListParagraph"/>
        <w:numPr>
          <w:ilvl w:val="0"/>
          <w:numId w:val="50"/>
        </w:numPr>
        <w:rPr>
          <w:bCs/>
          <w:sz w:val="22"/>
          <w:szCs w:val="22"/>
        </w:rPr>
      </w:pPr>
      <w:r>
        <w:rPr>
          <w:bCs/>
          <w:sz w:val="22"/>
          <w:szCs w:val="22"/>
        </w:rPr>
        <w:t>Chairman – Freeway UK Insurance Services Ltd</w:t>
      </w:r>
      <w:r>
        <w:rPr>
          <w:bCs/>
          <w:sz w:val="22"/>
          <w:szCs w:val="22"/>
        </w:rPr>
        <w:br/>
        <w:t>Specialist underwriter and manager of taxi insurance and associated products</w:t>
      </w:r>
      <w:r w:rsidR="008E05DB">
        <w:rPr>
          <w:bCs/>
          <w:sz w:val="22"/>
          <w:szCs w:val="22"/>
        </w:rPr>
        <w:t>, acting as Chairman to bring governance and board advice, plus coaching and mentoring to CEO.</w:t>
      </w:r>
      <w:r w:rsidR="008E05DB" w:rsidRPr="000122E3">
        <w:rPr>
          <w:bCs/>
          <w:sz w:val="22"/>
          <w:szCs w:val="22"/>
        </w:rPr>
        <w:br/>
      </w:r>
    </w:p>
    <w:p w14:paraId="17FB0A1C" w14:textId="2E98EF15" w:rsidR="008752E3" w:rsidRPr="000122E3" w:rsidRDefault="008752E3" w:rsidP="000122E3">
      <w:pPr>
        <w:pStyle w:val="ListParagraph"/>
        <w:numPr>
          <w:ilvl w:val="0"/>
          <w:numId w:val="50"/>
        </w:numPr>
        <w:rPr>
          <w:bCs/>
          <w:sz w:val="16"/>
          <w:szCs w:val="16"/>
        </w:rPr>
      </w:pPr>
      <w:r>
        <w:rPr>
          <w:bCs/>
          <w:sz w:val="22"/>
          <w:szCs w:val="22"/>
        </w:rPr>
        <w:t xml:space="preserve">Director </w:t>
      </w:r>
      <w:r w:rsidR="006D5204">
        <w:rPr>
          <w:bCs/>
          <w:sz w:val="22"/>
          <w:szCs w:val="22"/>
        </w:rPr>
        <w:t xml:space="preserve">and shareholder </w:t>
      </w:r>
      <w:r>
        <w:rPr>
          <w:bCs/>
          <w:sz w:val="22"/>
          <w:szCs w:val="22"/>
        </w:rPr>
        <w:t>– Natural Energy Wyre Ltd</w:t>
      </w:r>
      <w:r>
        <w:rPr>
          <w:bCs/>
          <w:sz w:val="22"/>
          <w:szCs w:val="22"/>
        </w:rPr>
        <w:br/>
      </w:r>
      <w:r w:rsidR="002307D2">
        <w:rPr>
          <w:bCs/>
          <w:sz w:val="22"/>
          <w:szCs w:val="22"/>
        </w:rPr>
        <w:t>Development of</w:t>
      </w:r>
      <w:r w:rsidR="00734252">
        <w:rPr>
          <w:bCs/>
          <w:sz w:val="22"/>
          <w:szCs w:val="22"/>
        </w:rPr>
        <w:t xml:space="preserve"> tidal </w:t>
      </w:r>
      <w:r w:rsidR="002307D2">
        <w:rPr>
          <w:bCs/>
          <w:sz w:val="22"/>
          <w:szCs w:val="22"/>
        </w:rPr>
        <w:t>energy</w:t>
      </w:r>
      <w:r w:rsidR="00734252">
        <w:rPr>
          <w:bCs/>
          <w:sz w:val="22"/>
          <w:szCs w:val="22"/>
        </w:rPr>
        <w:t xml:space="preserve"> scheme across the River Wyre</w:t>
      </w:r>
      <w:r w:rsidR="002307D2">
        <w:rPr>
          <w:bCs/>
          <w:sz w:val="22"/>
          <w:szCs w:val="22"/>
        </w:rPr>
        <w:t>, including project design, government interaction, fundraising and stakeholder management.</w:t>
      </w:r>
      <w:r w:rsidR="003D5ADA" w:rsidRPr="000122E3">
        <w:rPr>
          <w:bCs/>
          <w:sz w:val="22"/>
          <w:szCs w:val="22"/>
        </w:rPr>
        <w:br/>
      </w:r>
    </w:p>
    <w:tbl>
      <w:tblPr>
        <w:tblW w:w="9576" w:type="dxa"/>
        <w:tblLook w:val="0000" w:firstRow="0" w:lastRow="0" w:firstColumn="0" w:lastColumn="0" w:noHBand="0" w:noVBand="0"/>
      </w:tblPr>
      <w:tblGrid>
        <w:gridCol w:w="9576"/>
      </w:tblGrid>
      <w:tr w:rsidR="008752E3" w:rsidRPr="0048361F" w14:paraId="11D247D8" w14:textId="77777777" w:rsidTr="009677BE">
        <w:trPr>
          <w:cantSplit/>
          <w:trHeight w:hRule="exact" w:val="144"/>
        </w:trPr>
        <w:tc>
          <w:tcPr>
            <w:tcW w:w="9576" w:type="dxa"/>
            <w:tcBorders>
              <w:bottom w:val="single" w:sz="4" w:space="0" w:color="auto"/>
            </w:tcBorders>
            <w:tcMar>
              <w:left w:w="0" w:type="dxa"/>
              <w:right w:w="0" w:type="dxa"/>
            </w:tcMar>
          </w:tcPr>
          <w:p w14:paraId="14BF815B" w14:textId="77777777" w:rsidR="008752E3" w:rsidRPr="0048361F" w:rsidRDefault="008752E3" w:rsidP="009677BE">
            <w:pPr>
              <w:jc w:val="both"/>
              <w:rPr>
                <w:rFonts w:cs="Arial"/>
                <w:sz w:val="16"/>
                <w:szCs w:val="16"/>
              </w:rPr>
            </w:pPr>
          </w:p>
        </w:tc>
      </w:tr>
      <w:tr w:rsidR="008752E3" w:rsidRPr="0048361F" w14:paraId="60AC40CF" w14:textId="77777777" w:rsidTr="009677BE">
        <w:trPr>
          <w:cantSplit/>
          <w:trHeight w:hRule="exact" w:val="288"/>
        </w:trPr>
        <w:tc>
          <w:tcPr>
            <w:tcW w:w="9576" w:type="dxa"/>
            <w:tcMar>
              <w:left w:w="0" w:type="dxa"/>
              <w:right w:w="0" w:type="dxa"/>
            </w:tcMar>
          </w:tcPr>
          <w:p w14:paraId="4B1ADD65" w14:textId="77777777" w:rsidR="008752E3" w:rsidRPr="0048361F" w:rsidRDefault="008752E3" w:rsidP="009677BE">
            <w:pPr>
              <w:pStyle w:val="Heading8"/>
              <w:numPr>
                <w:ilvl w:val="0"/>
                <w:numId w:val="0"/>
              </w:numPr>
              <w:rPr>
                <w:rFonts w:ascii="Garamond" w:hAnsi="Garamond"/>
                <w:sz w:val="16"/>
                <w:szCs w:val="16"/>
              </w:rPr>
            </w:pPr>
          </w:p>
        </w:tc>
      </w:tr>
    </w:tbl>
    <w:p w14:paraId="4B3F2C3A" w14:textId="77777777" w:rsidR="008752E3" w:rsidRPr="009C7ED2" w:rsidRDefault="008752E3" w:rsidP="008752E3">
      <w:pPr>
        <w:rPr>
          <w:b/>
          <w:bCs/>
          <w:sz w:val="22"/>
          <w:szCs w:val="22"/>
        </w:rPr>
      </w:pPr>
      <w:r>
        <w:rPr>
          <w:b/>
          <w:bCs/>
          <w:sz w:val="22"/>
          <w:szCs w:val="22"/>
        </w:rPr>
        <w:t>PREVIOUS DIRECTORIAL EXPERIENCE (through 242 Associates LLP)</w:t>
      </w:r>
    </w:p>
    <w:p w14:paraId="036422E7" w14:textId="77777777" w:rsidR="000122E3" w:rsidRDefault="000122E3" w:rsidP="000122E3">
      <w:pPr>
        <w:pStyle w:val="ListParagraph"/>
        <w:numPr>
          <w:ilvl w:val="0"/>
          <w:numId w:val="50"/>
        </w:numPr>
        <w:rPr>
          <w:bCs/>
          <w:sz w:val="22"/>
          <w:szCs w:val="22"/>
        </w:rPr>
      </w:pPr>
      <w:r>
        <w:rPr>
          <w:bCs/>
          <w:sz w:val="22"/>
          <w:szCs w:val="22"/>
        </w:rPr>
        <w:t>Director of Finance – Acuant UK (formerly Hello Soda)</w:t>
      </w:r>
      <w:r>
        <w:rPr>
          <w:bCs/>
          <w:sz w:val="22"/>
          <w:szCs w:val="22"/>
        </w:rPr>
        <w:br/>
        <w:t>Fast-growth PE-backed software business, prior to acquisition acting in extended NED role to bring part-time CFO-level financial expertise to the business.</w:t>
      </w:r>
      <w:r>
        <w:rPr>
          <w:bCs/>
          <w:sz w:val="22"/>
          <w:szCs w:val="22"/>
        </w:rPr>
        <w:br/>
      </w:r>
    </w:p>
    <w:p w14:paraId="597A1B65" w14:textId="77777777" w:rsidR="000122E3" w:rsidRDefault="000122E3" w:rsidP="000122E3">
      <w:pPr>
        <w:pStyle w:val="ListParagraph"/>
        <w:numPr>
          <w:ilvl w:val="0"/>
          <w:numId w:val="50"/>
        </w:numPr>
        <w:rPr>
          <w:bCs/>
          <w:sz w:val="22"/>
          <w:szCs w:val="22"/>
        </w:rPr>
      </w:pPr>
      <w:r w:rsidRPr="008E05DB">
        <w:rPr>
          <w:bCs/>
          <w:sz w:val="22"/>
          <w:szCs w:val="22"/>
        </w:rPr>
        <w:t>Board advise</w:t>
      </w:r>
      <w:r>
        <w:rPr>
          <w:bCs/>
          <w:sz w:val="22"/>
          <w:szCs w:val="22"/>
        </w:rPr>
        <w:t>r – Slater Heelis Ltd</w:t>
      </w:r>
      <w:r>
        <w:rPr>
          <w:bCs/>
          <w:sz w:val="22"/>
          <w:szCs w:val="22"/>
        </w:rPr>
        <w:br/>
        <w:t>Legal services provider, advising board on professional services development and contributing to strategic decision-making.</w:t>
      </w:r>
      <w:r>
        <w:rPr>
          <w:bCs/>
          <w:sz w:val="22"/>
          <w:szCs w:val="22"/>
        </w:rPr>
        <w:br/>
      </w:r>
    </w:p>
    <w:p w14:paraId="51907D8B" w14:textId="7CD6DA1A" w:rsidR="008752E3" w:rsidRPr="008752E3" w:rsidRDefault="008752E3" w:rsidP="000122E3">
      <w:pPr>
        <w:pStyle w:val="ListParagraph"/>
        <w:numPr>
          <w:ilvl w:val="0"/>
          <w:numId w:val="50"/>
        </w:numPr>
        <w:rPr>
          <w:bCs/>
          <w:sz w:val="22"/>
          <w:szCs w:val="22"/>
        </w:rPr>
      </w:pPr>
      <w:r w:rsidRPr="008752E3">
        <w:rPr>
          <w:bCs/>
          <w:sz w:val="22"/>
          <w:szCs w:val="22"/>
        </w:rPr>
        <w:t>Director and investor – My Online Estate Agent Ltd</w:t>
      </w:r>
      <w:r w:rsidRPr="008752E3">
        <w:rPr>
          <w:bCs/>
          <w:sz w:val="22"/>
          <w:szCs w:val="22"/>
        </w:rPr>
        <w:br/>
        <w:t>Largest shareholder, bringing strategic direction to day-to-day management, driving commercial development in a highly dynamic marketplace and business model</w:t>
      </w:r>
      <w:r w:rsidR="00734252">
        <w:rPr>
          <w:bCs/>
          <w:sz w:val="22"/>
          <w:szCs w:val="22"/>
        </w:rPr>
        <w:t xml:space="preserve">, leading to the </w:t>
      </w:r>
      <w:r w:rsidR="00734252">
        <w:rPr>
          <w:bCs/>
          <w:sz w:val="22"/>
          <w:szCs w:val="22"/>
        </w:rPr>
        <w:lastRenderedPageBreak/>
        <w:t>business being sold to a corporate acquirer</w:t>
      </w:r>
      <w:r w:rsidRPr="008752E3">
        <w:rPr>
          <w:bCs/>
          <w:sz w:val="22"/>
          <w:szCs w:val="22"/>
        </w:rPr>
        <w:t>.</w:t>
      </w:r>
      <w:r>
        <w:rPr>
          <w:bCs/>
          <w:sz w:val="22"/>
          <w:szCs w:val="22"/>
        </w:rPr>
        <w:br/>
      </w:r>
    </w:p>
    <w:p w14:paraId="3EA32093" w14:textId="0E44E923" w:rsidR="002307D2" w:rsidRDefault="002307D2" w:rsidP="008752E3">
      <w:pPr>
        <w:pStyle w:val="ListParagraph"/>
        <w:numPr>
          <w:ilvl w:val="0"/>
          <w:numId w:val="50"/>
        </w:numPr>
        <w:rPr>
          <w:bCs/>
          <w:sz w:val="22"/>
          <w:szCs w:val="22"/>
        </w:rPr>
      </w:pPr>
      <w:r w:rsidRPr="009C7ED2">
        <w:rPr>
          <w:bCs/>
          <w:sz w:val="22"/>
          <w:szCs w:val="22"/>
        </w:rPr>
        <w:t>NED – Flowgroup plc</w:t>
      </w:r>
      <w:r>
        <w:rPr>
          <w:bCs/>
          <w:sz w:val="22"/>
          <w:szCs w:val="22"/>
        </w:rPr>
        <w:br/>
        <w:t>Traditional public company NED role, plus part-time responsibility for commercial and financial matters prior to CFO appointment in December 2014. Chair of Audit and Remuneration Committees.</w:t>
      </w:r>
      <w:r w:rsidR="00365D77">
        <w:rPr>
          <w:bCs/>
          <w:sz w:val="22"/>
          <w:szCs w:val="22"/>
        </w:rPr>
        <w:br/>
      </w:r>
    </w:p>
    <w:p w14:paraId="2F2D1A7C" w14:textId="77381C50" w:rsidR="00387B69" w:rsidRDefault="008752E3" w:rsidP="008752E3">
      <w:pPr>
        <w:pStyle w:val="ListParagraph"/>
        <w:numPr>
          <w:ilvl w:val="0"/>
          <w:numId w:val="50"/>
        </w:numPr>
        <w:rPr>
          <w:bCs/>
          <w:sz w:val="22"/>
          <w:szCs w:val="22"/>
        </w:rPr>
      </w:pPr>
      <w:r w:rsidRPr="009C7ED2">
        <w:rPr>
          <w:bCs/>
          <w:sz w:val="22"/>
          <w:szCs w:val="22"/>
        </w:rPr>
        <w:t xml:space="preserve">NED – </w:t>
      </w:r>
      <w:r>
        <w:rPr>
          <w:bCs/>
          <w:sz w:val="22"/>
          <w:szCs w:val="22"/>
        </w:rPr>
        <w:t>Entu (UK) plc</w:t>
      </w:r>
      <w:r>
        <w:rPr>
          <w:bCs/>
          <w:sz w:val="22"/>
          <w:szCs w:val="22"/>
        </w:rPr>
        <w:br/>
        <w:t>Traditional public company NED role, including assistance through IPO process (October 2014). Chair of Audit Committee</w:t>
      </w:r>
      <w:r w:rsidR="003D5ADA">
        <w:rPr>
          <w:bCs/>
          <w:sz w:val="22"/>
          <w:szCs w:val="22"/>
        </w:rPr>
        <w:t>; member of Remuneration Committee</w:t>
      </w:r>
      <w:r>
        <w:rPr>
          <w:bCs/>
          <w:sz w:val="22"/>
          <w:szCs w:val="22"/>
        </w:rPr>
        <w:t>.</w:t>
      </w:r>
      <w:r w:rsidR="00387B69">
        <w:rPr>
          <w:bCs/>
          <w:sz w:val="22"/>
          <w:szCs w:val="22"/>
        </w:rPr>
        <w:br/>
      </w:r>
    </w:p>
    <w:p w14:paraId="705DCA7B" w14:textId="698FACFB" w:rsidR="008752E3" w:rsidRPr="00387B69" w:rsidRDefault="00387B69" w:rsidP="00387B69">
      <w:pPr>
        <w:pStyle w:val="ListParagraph"/>
        <w:numPr>
          <w:ilvl w:val="0"/>
          <w:numId w:val="50"/>
        </w:numPr>
        <w:rPr>
          <w:bCs/>
          <w:sz w:val="22"/>
          <w:szCs w:val="22"/>
        </w:rPr>
      </w:pPr>
      <w:r w:rsidRPr="009C7ED2">
        <w:rPr>
          <w:bCs/>
          <w:sz w:val="22"/>
          <w:szCs w:val="22"/>
        </w:rPr>
        <w:t xml:space="preserve">Charity Trustee – The Manufacturing Institute </w:t>
      </w:r>
      <w:r>
        <w:rPr>
          <w:bCs/>
          <w:sz w:val="22"/>
          <w:szCs w:val="22"/>
        </w:rPr>
        <w:br/>
        <w:t xml:space="preserve">Charity NED role. Member of Audit Committee. </w:t>
      </w:r>
      <w:r w:rsidR="008752E3" w:rsidRPr="00387B69">
        <w:rPr>
          <w:bCs/>
          <w:sz w:val="22"/>
          <w:szCs w:val="22"/>
        </w:rPr>
        <w:br/>
      </w:r>
    </w:p>
    <w:p w14:paraId="592DBCCE" w14:textId="77777777" w:rsidR="00EB4158" w:rsidRPr="009C7ED2" w:rsidRDefault="006D5204" w:rsidP="008752E3">
      <w:pPr>
        <w:pStyle w:val="ListParagraph"/>
        <w:numPr>
          <w:ilvl w:val="0"/>
          <w:numId w:val="50"/>
        </w:numPr>
        <w:rPr>
          <w:bCs/>
          <w:sz w:val="22"/>
          <w:szCs w:val="22"/>
        </w:rPr>
      </w:pPr>
      <w:r>
        <w:rPr>
          <w:bCs/>
          <w:sz w:val="22"/>
          <w:szCs w:val="22"/>
        </w:rPr>
        <w:t>NED Plus</w:t>
      </w:r>
      <w:r w:rsidR="00734252">
        <w:rPr>
          <w:bCs/>
          <w:sz w:val="22"/>
          <w:szCs w:val="22"/>
        </w:rPr>
        <w:t xml:space="preserve"> – Omega Sky Ltd</w:t>
      </w:r>
      <w:r w:rsidR="00734252">
        <w:rPr>
          <w:bCs/>
          <w:sz w:val="22"/>
          <w:szCs w:val="22"/>
        </w:rPr>
        <w:br/>
        <w:t>Support to the executive management team in strategic growth of the business, including financing structures and operational dynamics.</w:t>
      </w:r>
      <w:r w:rsidR="00734252">
        <w:rPr>
          <w:bCs/>
          <w:sz w:val="22"/>
          <w:szCs w:val="22"/>
        </w:rPr>
        <w:br/>
      </w:r>
    </w:p>
    <w:tbl>
      <w:tblPr>
        <w:tblW w:w="9576" w:type="dxa"/>
        <w:tblLook w:val="0000" w:firstRow="0" w:lastRow="0" w:firstColumn="0" w:lastColumn="0" w:noHBand="0" w:noVBand="0"/>
      </w:tblPr>
      <w:tblGrid>
        <w:gridCol w:w="9576"/>
      </w:tblGrid>
      <w:tr w:rsidR="006B433F" w:rsidRPr="0048361F" w14:paraId="04AE2B48" w14:textId="77777777" w:rsidTr="00BE5B7A">
        <w:trPr>
          <w:cantSplit/>
          <w:trHeight w:hRule="exact" w:val="144"/>
        </w:trPr>
        <w:tc>
          <w:tcPr>
            <w:tcW w:w="9576" w:type="dxa"/>
            <w:tcBorders>
              <w:bottom w:val="single" w:sz="4" w:space="0" w:color="auto"/>
            </w:tcBorders>
            <w:tcMar>
              <w:left w:w="0" w:type="dxa"/>
              <w:right w:w="0" w:type="dxa"/>
            </w:tcMar>
          </w:tcPr>
          <w:p w14:paraId="4AB108DF" w14:textId="77777777" w:rsidR="006B433F" w:rsidRPr="0048361F" w:rsidRDefault="006B433F" w:rsidP="00BE5B7A">
            <w:pPr>
              <w:jc w:val="both"/>
              <w:rPr>
                <w:rFonts w:cs="Arial"/>
                <w:sz w:val="16"/>
                <w:szCs w:val="16"/>
              </w:rPr>
            </w:pPr>
          </w:p>
        </w:tc>
      </w:tr>
      <w:tr w:rsidR="006B433F" w:rsidRPr="0048361F" w14:paraId="46920655" w14:textId="77777777" w:rsidTr="00BE5B7A">
        <w:trPr>
          <w:cantSplit/>
          <w:trHeight w:hRule="exact" w:val="288"/>
        </w:trPr>
        <w:tc>
          <w:tcPr>
            <w:tcW w:w="9576" w:type="dxa"/>
            <w:tcMar>
              <w:left w:w="0" w:type="dxa"/>
              <w:right w:w="0" w:type="dxa"/>
            </w:tcMar>
          </w:tcPr>
          <w:p w14:paraId="28BF1B96" w14:textId="77777777" w:rsidR="006B433F" w:rsidRPr="0048361F" w:rsidRDefault="006B433F" w:rsidP="00BE5B7A">
            <w:pPr>
              <w:pStyle w:val="Heading8"/>
              <w:numPr>
                <w:ilvl w:val="0"/>
                <w:numId w:val="0"/>
              </w:numPr>
              <w:rPr>
                <w:rFonts w:ascii="Garamond" w:hAnsi="Garamond"/>
                <w:sz w:val="16"/>
                <w:szCs w:val="16"/>
              </w:rPr>
            </w:pPr>
          </w:p>
        </w:tc>
      </w:tr>
    </w:tbl>
    <w:p w14:paraId="6B09D799" w14:textId="77777777" w:rsidR="006B433F" w:rsidRPr="00C42819" w:rsidRDefault="006B433F" w:rsidP="006B433F">
      <w:pPr>
        <w:rPr>
          <w:b/>
          <w:bCs/>
          <w:sz w:val="22"/>
          <w:szCs w:val="22"/>
        </w:rPr>
      </w:pPr>
      <w:r>
        <w:rPr>
          <w:b/>
          <w:bCs/>
          <w:sz w:val="22"/>
          <w:szCs w:val="22"/>
        </w:rPr>
        <w:t>EMPLOYMENT SUMMARY</w:t>
      </w:r>
    </w:p>
    <w:p w14:paraId="73A0F7EC" w14:textId="77777777" w:rsidR="006F1D17" w:rsidRDefault="006F1D17" w:rsidP="006B433F">
      <w:pPr>
        <w:pStyle w:val="BulletOne"/>
        <w:numPr>
          <w:ilvl w:val="0"/>
          <w:numId w:val="48"/>
        </w:numPr>
        <w:rPr>
          <w:sz w:val="22"/>
          <w:szCs w:val="22"/>
        </w:rPr>
      </w:pPr>
      <w:r>
        <w:rPr>
          <w:sz w:val="22"/>
          <w:szCs w:val="22"/>
        </w:rPr>
        <w:t xml:space="preserve">Founding Partner </w:t>
      </w:r>
      <w:r w:rsidR="00660091">
        <w:rPr>
          <w:sz w:val="22"/>
          <w:szCs w:val="22"/>
        </w:rPr>
        <w:t>| 242 Associates LLP | 2012 - date</w:t>
      </w:r>
    </w:p>
    <w:p w14:paraId="015415F2" w14:textId="77777777" w:rsidR="006B433F" w:rsidRPr="006B433F" w:rsidRDefault="006B433F" w:rsidP="006B433F">
      <w:pPr>
        <w:pStyle w:val="BulletOne"/>
        <w:numPr>
          <w:ilvl w:val="0"/>
          <w:numId w:val="48"/>
        </w:numPr>
        <w:rPr>
          <w:sz w:val="22"/>
          <w:szCs w:val="22"/>
        </w:rPr>
      </w:pPr>
      <w:r w:rsidRPr="006B433F">
        <w:rPr>
          <w:sz w:val="22"/>
          <w:szCs w:val="22"/>
        </w:rPr>
        <w:t>North West Managing Partner | Grant Thornton | 2009  - 2012</w:t>
      </w:r>
    </w:p>
    <w:p w14:paraId="11DA861C" w14:textId="77777777" w:rsidR="00AF52C2" w:rsidRPr="006B433F" w:rsidRDefault="006B433F" w:rsidP="006B433F">
      <w:pPr>
        <w:pStyle w:val="BulletOne"/>
        <w:numPr>
          <w:ilvl w:val="0"/>
          <w:numId w:val="48"/>
        </w:numPr>
        <w:rPr>
          <w:sz w:val="22"/>
          <w:szCs w:val="22"/>
        </w:rPr>
      </w:pPr>
      <w:r w:rsidRPr="006B433F">
        <w:rPr>
          <w:sz w:val="22"/>
          <w:szCs w:val="22"/>
        </w:rPr>
        <w:t>National Head of Transaction Services | Grant Thornton | 2006  - 2009</w:t>
      </w:r>
    </w:p>
    <w:p w14:paraId="0757A58F" w14:textId="77777777" w:rsidR="006B433F" w:rsidRDefault="006B433F" w:rsidP="006B433F">
      <w:pPr>
        <w:pStyle w:val="BulletOne"/>
        <w:numPr>
          <w:ilvl w:val="0"/>
          <w:numId w:val="48"/>
        </w:numPr>
        <w:rPr>
          <w:sz w:val="22"/>
          <w:szCs w:val="22"/>
        </w:rPr>
      </w:pPr>
      <w:r w:rsidRPr="006B433F">
        <w:rPr>
          <w:sz w:val="22"/>
          <w:szCs w:val="22"/>
        </w:rPr>
        <w:t>Transaction Services Partner | Grant Thornton | 2001  - 2006</w:t>
      </w:r>
    </w:p>
    <w:p w14:paraId="48772592" w14:textId="77777777" w:rsidR="00313A32" w:rsidRPr="00313A32" w:rsidRDefault="00313A32" w:rsidP="00313A32">
      <w:pPr>
        <w:pStyle w:val="BulletOne"/>
        <w:numPr>
          <w:ilvl w:val="0"/>
          <w:numId w:val="48"/>
        </w:numPr>
        <w:rPr>
          <w:sz w:val="22"/>
          <w:szCs w:val="22"/>
        </w:rPr>
      </w:pPr>
      <w:r w:rsidRPr="00313A32">
        <w:rPr>
          <w:sz w:val="22"/>
          <w:szCs w:val="22"/>
        </w:rPr>
        <w:t>Audit</w:t>
      </w:r>
      <w:r w:rsidR="006B433F" w:rsidRPr="00313A32">
        <w:rPr>
          <w:sz w:val="22"/>
          <w:szCs w:val="22"/>
        </w:rPr>
        <w:t xml:space="preserve"> trainee to Transaction Services Senior Manager | Grant Thornton | 1989  - 2001</w:t>
      </w:r>
    </w:p>
    <w:p w14:paraId="1DE9203B" w14:textId="77777777" w:rsidR="00313A32" w:rsidRPr="00313A32" w:rsidRDefault="00313A32" w:rsidP="00313A32">
      <w:pPr>
        <w:pStyle w:val="BulletOne"/>
        <w:numPr>
          <w:ilvl w:val="0"/>
          <w:numId w:val="0"/>
        </w:numPr>
        <w:ind w:left="340"/>
        <w:rPr>
          <w:sz w:val="22"/>
          <w:szCs w:val="22"/>
        </w:rPr>
      </w:pPr>
    </w:p>
    <w:tbl>
      <w:tblPr>
        <w:tblW w:w="9576" w:type="dxa"/>
        <w:tblLook w:val="0000" w:firstRow="0" w:lastRow="0" w:firstColumn="0" w:lastColumn="0" w:noHBand="0" w:noVBand="0"/>
      </w:tblPr>
      <w:tblGrid>
        <w:gridCol w:w="9576"/>
      </w:tblGrid>
      <w:tr w:rsidR="00E1178F" w:rsidRPr="0048361F" w14:paraId="1D655B9A" w14:textId="77777777" w:rsidTr="00CD24D9">
        <w:trPr>
          <w:cantSplit/>
          <w:trHeight w:hRule="exact" w:val="144"/>
        </w:trPr>
        <w:tc>
          <w:tcPr>
            <w:tcW w:w="9576" w:type="dxa"/>
            <w:tcBorders>
              <w:bottom w:val="single" w:sz="4" w:space="0" w:color="auto"/>
            </w:tcBorders>
            <w:tcMar>
              <w:left w:w="0" w:type="dxa"/>
              <w:right w:w="0" w:type="dxa"/>
            </w:tcMar>
          </w:tcPr>
          <w:p w14:paraId="13862C7C" w14:textId="77777777" w:rsidR="00E1178F" w:rsidRPr="0048361F" w:rsidRDefault="0048361F" w:rsidP="00CD24D9">
            <w:pPr>
              <w:jc w:val="both"/>
              <w:rPr>
                <w:rFonts w:cs="Arial"/>
                <w:sz w:val="16"/>
                <w:szCs w:val="16"/>
              </w:rPr>
            </w:pPr>
            <w:r w:rsidRPr="0048361F">
              <w:rPr>
                <w:rFonts w:cs="Arial"/>
                <w:sz w:val="16"/>
                <w:szCs w:val="16"/>
              </w:rPr>
              <w:br/>
            </w:r>
          </w:p>
        </w:tc>
      </w:tr>
      <w:tr w:rsidR="00E1178F" w:rsidRPr="0048361F" w14:paraId="189FAE69" w14:textId="77777777" w:rsidTr="00CD24D9">
        <w:trPr>
          <w:cantSplit/>
          <w:trHeight w:hRule="exact" w:val="288"/>
        </w:trPr>
        <w:tc>
          <w:tcPr>
            <w:tcW w:w="9576" w:type="dxa"/>
            <w:tcMar>
              <w:left w:w="0" w:type="dxa"/>
              <w:right w:w="0" w:type="dxa"/>
            </w:tcMar>
          </w:tcPr>
          <w:p w14:paraId="5477F285" w14:textId="77777777" w:rsidR="00E1178F" w:rsidRPr="0048361F" w:rsidRDefault="00E1178F" w:rsidP="00CD24D9">
            <w:pPr>
              <w:pStyle w:val="Heading8"/>
              <w:numPr>
                <w:ilvl w:val="0"/>
                <w:numId w:val="0"/>
              </w:numPr>
              <w:rPr>
                <w:rFonts w:ascii="Garamond" w:hAnsi="Garamond"/>
                <w:sz w:val="16"/>
                <w:szCs w:val="16"/>
              </w:rPr>
            </w:pPr>
          </w:p>
        </w:tc>
      </w:tr>
    </w:tbl>
    <w:p w14:paraId="40F2C0AB" w14:textId="77777777" w:rsidR="00E1178F" w:rsidRPr="00C42819" w:rsidRDefault="00C42819" w:rsidP="00C42819">
      <w:pPr>
        <w:rPr>
          <w:b/>
          <w:bCs/>
          <w:sz w:val="22"/>
          <w:szCs w:val="22"/>
        </w:rPr>
      </w:pPr>
      <w:r>
        <w:rPr>
          <w:b/>
          <w:bCs/>
          <w:sz w:val="22"/>
          <w:szCs w:val="22"/>
        </w:rPr>
        <w:t>EMPLOYMENT</w:t>
      </w:r>
      <w:r w:rsidR="006B433F">
        <w:rPr>
          <w:b/>
          <w:bCs/>
          <w:sz w:val="22"/>
          <w:szCs w:val="22"/>
        </w:rPr>
        <w:t xml:space="preserve"> DETAIL</w:t>
      </w:r>
    </w:p>
    <w:p w14:paraId="3BD647BF" w14:textId="77777777" w:rsidR="00660091" w:rsidRDefault="00660091" w:rsidP="001734B0">
      <w:pPr>
        <w:rPr>
          <w:b/>
          <w:bCs/>
          <w:i/>
          <w:sz w:val="22"/>
          <w:szCs w:val="22"/>
        </w:rPr>
      </w:pPr>
      <w:r>
        <w:rPr>
          <w:b/>
          <w:bCs/>
          <w:i/>
          <w:sz w:val="22"/>
          <w:szCs w:val="22"/>
        </w:rPr>
        <w:t>Founding Partner | 242 Associates LLP | 2012 – date</w:t>
      </w:r>
    </w:p>
    <w:p w14:paraId="2E8EADB1" w14:textId="40ED2E97" w:rsidR="00660091" w:rsidRPr="00E47D1D" w:rsidRDefault="007721F5" w:rsidP="00E47D1D">
      <w:pPr>
        <w:rPr>
          <w:b/>
          <w:bCs/>
          <w:i/>
          <w:sz w:val="22"/>
          <w:szCs w:val="22"/>
          <w:u w:val="single"/>
        </w:rPr>
      </w:pPr>
      <w:r>
        <w:rPr>
          <w:bCs/>
          <w:sz w:val="22"/>
          <w:szCs w:val="22"/>
        </w:rPr>
        <w:t>F</w:t>
      </w:r>
      <w:r w:rsidR="00660091">
        <w:rPr>
          <w:bCs/>
          <w:sz w:val="22"/>
          <w:szCs w:val="22"/>
        </w:rPr>
        <w:t xml:space="preserve">inancial consultancy business, providing </w:t>
      </w:r>
      <w:r w:rsidR="00397D4A">
        <w:rPr>
          <w:bCs/>
          <w:sz w:val="22"/>
          <w:szCs w:val="22"/>
        </w:rPr>
        <w:t>advice</w:t>
      </w:r>
      <w:r w:rsidR="00660091">
        <w:rPr>
          <w:bCs/>
          <w:sz w:val="22"/>
          <w:szCs w:val="22"/>
        </w:rPr>
        <w:t xml:space="preserve"> to dynamic and growth-oriented businesses within the UK.  </w:t>
      </w:r>
      <w:r w:rsidR="00397D4A">
        <w:rPr>
          <w:bCs/>
          <w:sz w:val="22"/>
          <w:szCs w:val="22"/>
        </w:rPr>
        <w:t>Bringing together</w:t>
      </w:r>
      <w:r w:rsidR="00660091">
        <w:rPr>
          <w:bCs/>
          <w:sz w:val="22"/>
          <w:szCs w:val="22"/>
        </w:rPr>
        <w:t xml:space="preserve"> corporate finance and operational management expertise</w:t>
      </w:r>
      <w:r w:rsidR="00397D4A">
        <w:rPr>
          <w:bCs/>
          <w:sz w:val="22"/>
          <w:szCs w:val="22"/>
        </w:rPr>
        <w:t>, 242 Associates</w:t>
      </w:r>
      <w:r w:rsidR="00660091">
        <w:rPr>
          <w:bCs/>
          <w:sz w:val="22"/>
          <w:szCs w:val="22"/>
        </w:rPr>
        <w:t xml:space="preserve"> provide</w:t>
      </w:r>
      <w:r w:rsidR="00397D4A">
        <w:rPr>
          <w:bCs/>
          <w:sz w:val="22"/>
          <w:szCs w:val="22"/>
        </w:rPr>
        <w:t>s</w:t>
      </w:r>
      <w:r w:rsidR="00660091">
        <w:rPr>
          <w:bCs/>
          <w:sz w:val="22"/>
          <w:szCs w:val="22"/>
        </w:rPr>
        <w:t xml:space="preserve"> business insight from an independent perspective, bringing </w:t>
      </w:r>
      <w:r w:rsidR="00E47D1D">
        <w:rPr>
          <w:bCs/>
          <w:sz w:val="22"/>
          <w:szCs w:val="22"/>
        </w:rPr>
        <w:t xml:space="preserve">finance-led </w:t>
      </w:r>
      <w:r w:rsidR="00660091">
        <w:rPr>
          <w:bCs/>
          <w:sz w:val="22"/>
          <w:szCs w:val="22"/>
        </w:rPr>
        <w:t xml:space="preserve">commercial and strategic </w:t>
      </w:r>
      <w:r w:rsidR="00387B69">
        <w:rPr>
          <w:bCs/>
          <w:sz w:val="22"/>
          <w:szCs w:val="22"/>
        </w:rPr>
        <w:t>acumen to the boardroom.</w:t>
      </w:r>
      <w:r w:rsidR="00610725">
        <w:rPr>
          <w:bCs/>
          <w:sz w:val="22"/>
          <w:szCs w:val="22"/>
        </w:rPr>
        <w:t xml:space="preserve"> </w:t>
      </w:r>
      <w:r w:rsidR="003D5ADA">
        <w:rPr>
          <w:bCs/>
          <w:sz w:val="22"/>
          <w:szCs w:val="22"/>
        </w:rPr>
        <w:t>NED roles can be extended to part-time executive management.</w:t>
      </w:r>
      <w:r w:rsidR="000A52F4">
        <w:rPr>
          <w:bCs/>
          <w:sz w:val="22"/>
          <w:szCs w:val="22"/>
        </w:rPr>
        <w:br/>
      </w:r>
      <w:r w:rsidR="00387B69" w:rsidRPr="00E47D1D">
        <w:rPr>
          <w:b/>
          <w:bCs/>
          <w:i/>
          <w:sz w:val="22"/>
          <w:szCs w:val="22"/>
          <w:u w:val="single"/>
        </w:rPr>
        <w:t xml:space="preserve"> </w:t>
      </w:r>
    </w:p>
    <w:p w14:paraId="32AA2283" w14:textId="77777777" w:rsidR="007906E2" w:rsidRPr="00C42819" w:rsidRDefault="00342D67" w:rsidP="001734B0">
      <w:pPr>
        <w:rPr>
          <w:b/>
          <w:bCs/>
          <w:i/>
          <w:sz w:val="22"/>
          <w:szCs w:val="22"/>
        </w:rPr>
      </w:pPr>
      <w:r>
        <w:rPr>
          <w:b/>
          <w:bCs/>
          <w:i/>
          <w:sz w:val="22"/>
          <w:szCs w:val="22"/>
        </w:rPr>
        <w:t>North West Managing Partner</w:t>
      </w:r>
      <w:r w:rsidR="00C42819" w:rsidRPr="00C42819">
        <w:rPr>
          <w:b/>
          <w:bCs/>
          <w:i/>
          <w:sz w:val="22"/>
          <w:szCs w:val="22"/>
        </w:rPr>
        <w:t xml:space="preserve"> | Grant Thornton | </w:t>
      </w:r>
      <w:r>
        <w:rPr>
          <w:b/>
          <w:bCs/>
          <w:i/>
          <w:sz w:val="22"/>
          <w:szCs w:val="22"/>
        </w:rPr>
        <w:t xml:space="preserve">2009 </w:t>
      </w:r>
      <w:r w:rsidR="006B433F">
        <w:rPr>
          <w:b/>
          <w:bCs/>
          <w:i/>
          <w:sz w:val="22"/>
          <w:szCs w:val="22"/>
        </w:rPr>
        <w:t xml:space="preserve"> - 2012</w:t>
      </w:r>
    </w:p>
    <w:p w14:paraId="43FAD2CE" w14:textId="77777777" w:rsidR="00C42819" w:rsidRDefault="00C42819" w:rsidP="001734B0">
      <w:pPr>
        <w:rPr>
          <w:bCs/>
          <w:sz w:val="22"/>
          <w:szCs w:val="22"/>
        </w:rPr>
      </w:pPr>
      <w:r>
        <w:rPr>
          <w:bCs/>
          <w:sz w:val="22"/>
          <w:szCs w:val="22"/>
        </w:rPr>
        <w:t>Grant Thornton is a leading firm of accountants, providing audit, tax and advisory services</w:t>
      </w:r>
      <w:r w:rsidR="00F36428">
        <w:rPr>
          <w:bCs/>
          <w:sz w:val="22"/>
          <w:szCs w:val="22"/>
        </w:rPr>
        <w:t xml:space="preserve"> to mid-market businesses and their owners. The North West </w:t>
      </w:r>
      <w:r w:rsidR="00111382">
        <w:rPr>
          <w:bCs/>
          <w:sz w:val="22"/>
          <w:szCs w:val="22"/>
        </w:rPr>
        <w:t xml:space="preserve">operational </w:t>
      </w:r>
      <w:r w:rsidR="00F36428">
        <w:rPr>
          <w:bCs/>
          <w:sz w:val="22"/>
          <w:szCs w:val="22"/>
        </w:rPr>
        <w:t>unit, comprising offices in Manchester and Liverpool, generates revenue of ~£30m, employing ~ 350 people.</w:t>
      </w:r>
    </w:p>
    <w:p w14:paraId="0876132A" w14:textId="77777777" w:rsidR="00326C77" w:rsidRDefault="00326C77" w:rsidP="001734B0">
      <w:pPr>
        <w:rPr>
          <w:bCs/>
          <w:sz w:val="22"/>
          <w:szCs w:val="22"/>
        </w:rPr>
      </w:pPr>
    </w:p>
    <w:p w14:paraId="34C9DC12" w14:textId="77777777" w:rsidR="00C42819" w:rsidRDefault="00326C77" w:rsidP="001734B0">
      <w:pPr>
        <w:rPr>
          <w:bCs/>
          <w:sz w:val="22"/>
          <w:szCs w:val="22"/>
        </w:rPr>
      </w:pPr>
      <w:r>
        <w:rPr>
          <w:bCs/>
          <w:sz w:val="22"/>
          <w:szCs w:val="22"/>
        </w:rPr>
        <w:t>Role</w:t>
      </w:r>
      <w:r w:rsidR="00E3186F">
        <w:rPr>
          <w:bCs/>
          <w:sz w:val="22"/>
          <w:szCs w:val="22"/>
        </w:rPr>
        <w:t xml:space="preserve"> as Manag</w:t>
      </w:r>
      <w:r>
        <w:rPr>
          <w:bCs/>
          <w:sz w:val="22"/>
          <w:szCs w:val="22"/>
        </w:rPr>
        <w:t>ing Partner</w:t>
      </w:r>
      <w:r w:rsidR="00E3186F">
        <w:rPr>
          <w:bCs/>
          <w:sz w:val="22"/>
          <w:szCs w:val="22"/>
        </w:rPr>
        <w:t xml:space="preserve"> involve</w:t>
      </w:r>
      <w:r>
        <w:rPr>
          <w:bCs/>
          <w:sz w:val="22"/>
          <w:szCs w:val="22"/>
        </w:rPr>
        <w:t>d</w:t>
      </w:r>
      <w:r w:rsidR="00E3186F">
        <w:rPr>
          <w:bCs/>
          <w:sz w:val="22"/>
          <w:szCs w:val="22"/>
        </w:rPr>
        <w:t xml:space="preserve"> overall </w:t>
      </w:r>
      <w:r>
        <w:rPr>
          <w:bCs/>
          <w:sz w:val="22"/>
          <w:szCs w:val="22"/>
        </w:rPr>
        <w:t>responsibility for development and delivery of local business plans, focussed on growth and profit maximisation.  Direct management of finance, HR and business development functions, operating across audit, tax and advisory departments</w:t>
      </w:r>
      <w:r w:rsidR="007721F5">
        <w:rPr>
          <w:bCs/>
          <w:sz w:val="22"/>
          <w:szCs w:val="22"/>
        </w:rPr>
        <w:t>; k</w:t>
      </w:r>
      <w:r w:rsidR="00C42819">
        <w:rPr>
          <w:bCs/>
          <w:sz w:val="22"/>
          <w:szCs w:val="22"/>
        </w:rPr>
        <w:t>ey</w:t>
      </w:r>
      <w:r w:rsidR="007721F5">
        <w:rPr>
          <w:bCs/>
          <w:sz w:val="22"/>
          <w:szCs w:val="22"/>
        </w:rPr>
        <w:t xml:space="preserve"> successes: </w:t>
      </w:r>
    </w:p>
    <w:p w14:paraId="3F0C5FA7" w14:textId="77777777" w:rsidR="00326C77" w:rsidRDefault="00326C77" w:rsidP="00C42819">
      <w:pPr>
        <w:pStyle w:val="BulletOne"/>
        <w:rPr>
          <w:sz w:val="22"/>
          <w:szCs w:val="22"/>
        </w:rPr>
      </w:pPr>
      <w:r>
        <w:rPr>
          <w:sz w:val="22"/>
          <w:szCs w:val="22"/>
        </w:rPr>
        <w:t>Restructuring</w:t>
      </w:r>
      <w:r w:rsidR="007721F5">
        <w:rPr>
          <w:sz w:val="22"/>
          <w:szCs w:val="22"/>
        </w:rPr>
        <w:t xml:space="preserve"> of service offering, </w:t>
      </w:r>
      <w:r>
        <w:rPr>
          <w:sz w:val="22"/>
          <w:szCs w:val="22"/>
        </w:rPr>
        <w:t>non-core business disposal and refocus of partners.</w:t>
      </w:r>
    </w:p>
    <w:p w14:paraId="58BE5D96" w14:textId="77777777" w:rsidR="006A2C4F" w:rsidRDefault="006A2C4F" w:rsidP="00326C77">
      <w:pPr>
        <w:pStyle w:val="BulletOne"/>
        <w:rPr>
          <w:sz w:val="22"/>
          <w:szCs w:val="22"/>
        </w:rPr>
      </w:pPr>
      <w:r>
        <w:rPr>
          <w:sz w:val="22"/>
          <w:szCs w:val="22"/>
        </w:rPr>
        <w:t>Operational merger of Manchester and Liverpool offices, setting guidelines and protocols for subsequent mergers of other offices.</w:t>
      </w:r>
    </w:p>
    <w:p w14:paraId="1A192E1E" w14:textId="77777777" w:rsidR="007B65B6" w:rsidRDefault="00326C77" w:rsidP="00326C77">
      <w:pPr>
        <w:pStyle w:val="BulletOne"/>
        <w:rPr>
          <w:sz w:val="22"/>
          <w:szCs w:val="22"/>
        </w:rPr>
      </w:pPr>
      <w:r>
        <w:rPr>
          <w:sz w:val="22"/>
          <w:szCs w:val="22"/>
        </w:rPr>
        <w:t>Realignment of headcount to business demands, including management of partner exits and redefinition of staff roles and responsibilities.</w:t>
      </w:r>
    </w:p>
    <w:p w14:paraId="530AFA95" w14:textId="77777777" w:rsidR="007B65B6" w:rsidRPr="00326C77" w:rsidRDefault="00326C77" w:rsidP="007B65B6">
      <w:pPr>
        <w:pStyle w:val="BulletOne"/>
        <w:rPr>
          <w:sz w:val="22"/>
          <w:szCs w:val="22"/>
        </w:rPr>
      </w:pPr>
      <w:r w:rsidRPr="00326C77">
        <w:rPr>
          <w:sz w:val="22"/>
          <w:szCs w:val="22"/>
        </w:rPr>
        <w:t xml:space="preserve">Delivery </w:t>
      </w:r>
      <w:r w:rsidR="007B65B6" w:rsidRPr="00326C77">
        <w:rPr>
          <w:sz w:val="22"/>
          <w:szCs w:val="22"/>
        </w:rPr>
        <w:t>of</w:t>
      </w:r>
      <w:r w:rsidRPr="00326C77">
        <w:rPr>
          <w:sz w:val="22"/>
          <w:szCs w:val="22"/>
        </w:rPr>
        <w:t xml:space="preserve"> Partner Development Programme (to maximise leadership skills amongst senior team) and de</w:t>
      </w:r>
      <w:r w:rsidR="00397D4A">
        <w:rPr>
          <w:sz w:val="22"/>
          <w:szCs w:val="22"/>
        </w:rPr>
        <w:t>velopment of NW</w:t>
      </w:r>
      <w:r w:rsidR="007B65B6" w:rsidRPr="00326C77">
        <w:rPr>
          <w:sz w:val="22"/>
          <w:szCs w:val="22"/>
        </w:rPr>
        <w:t xml:space="preserve"> Academy</w:t>
      </w:r>
      <w:r>
        <w:rPr>
          <w:sz w:val="22"/>
          <w:szCs w:val="22"/>
        </w:rPr>
        <w:t xml:space="preserve"> (</w:t>
      </w:r>
      <w:r w:rsidR="007721F5">
        <w:rPr>
          <w:sz w:val="22"/>
          <w:szCs w:val="22"/>
        </w:rPr>
        <w:t>developing</w:t>
      </w:r>
      <w:r w:rsidR="00687848" w:rsidRPr="00326C77">
        <w:rPr>
          <w:sz w:val="22"/>
          <w:szCs w:val="22"/>
        </w:rPr>
        <w:t xml:space="preserve"> managers</w:t>
      </w:r>
      <w:r w:rsidR="007721F5">
        <w:rPr>
          <w:sz w:val="22"/>
          <w:szCs w:val="22"/>
        </w:rPr>
        <w:t xml:space="preserve"> into</w:t>
      </w:r>
      <w:r w:rsidR="00687848" w:rsidRPr="00326C77">
        <w:rPr>
          <w:sz w:val="22"/>
          <w:szCs w:val="22"/>
        </w:rPr>
        <w:t xml:space="preserve"> leaders of the future</w:t>
      </w:r>
      <w:r>
        <w:rPr>
          <w:sz w:val="22"/>
          <w:szCs w:val="22"/>
        </w:rPr>
        <w:t>).</w:t>
      </w:r>
    </w:p>
    <w:p w14:paraId="673BFD1E" w14:textId="77777777" w:rsidR="00687848" w:rsidRPr="007B65B6" w:rsidRDefault="00326C77" w:rsidP="007B65B6">
      <w:pPr>
        <w:pStyle w:val="BulletOne"/>
        <w:rPr>
          <w:sz w:val="22"/>
          <w:szCs w:val="22"/>
        </w:rPr>
      </w:pPr>
      <w:r>
        <w:rPr>
          <w:sz w:val="22"/>
          <w:szCs w:val="22"/>
        </w:rPr>
        <w:t>Implementation of focused business development strategy, and management of senior team to deliver growth through challenging economic conditions.</w:t>
      </w:r>
    </w:p>
    <w:p w14:paraId="036A63AF" w14:textId="77777777" w:rsidR="000A52F4" w:rsidRDefault="000A52F4" w:rsidP="001734B0">
      <w:pPr>
        <w:rPr>
          <w:bCs/>
          <w:sz w:val="22"/>
          <w:szCs w:val="22"/>
        </w:rPr>
      </w:pPr>
    </w:p>
    <w:p w14:paraId="237EE6C0" w14:textId="77777777" w:rsidR="007B65B6" w:rsidRDefault="00326C77" w:rsidP="001734B0">
      <w:pPr>
        <w:rPr>
          <w:bCs/>
          <w:sz w:val="22"/>
          <w:szCs w:val="22"/>
        </w:rPr>
      </w:pPr>
      <w:r>
        <w:rPr>
          <w:bCs/>
          <w:sz w:val="22"/>
          <w:szCs w:val="22"/>
        </w:rPr>
        <w:t xml:space="preserve">For the </w:t>
      </w:r>
      <w:r w:rsidR="00313A32">
        <w:rPr>
          <w:bCs/>
          <w:sz w:val="22"/>
          <w:szCs w:val="22"/>
        </w:rPr>
        <w:t xml:space="preserve">2012 </w:t>
      </w:r>
      <w:r>
        <w:rPr>
          <w:bCs/>
          <w:sz w:val="22"/>
          <w:szCs w:val="22"/>
        </w:rPr>
        <w:t>year</w:t>
      </w:r>
      <w:r w:rsidR="00313A32">
        <w:rPr>
          <w:bCs/>
          <w:sz w:val="22"/>
          <w:szCs w:val="22"/>
        </w:rPr>
        <w:t>-</w:t>
      </w:r>
      <w:r>
        <w:rPr>
          <w:bCs/>
          <w:sz w:val="22"/>
          <w:szCs w:val="22"/>
        </w:rPr>
        <w:t>end, the results of above activity was an office generating the highest</w:t>
      </w:r>
      <w:r w:rsidR="00937053">
        <w:rPr>
          <w:bCs/>
          <w:sz w:val="22"/>
          <w:szCs w:val="22"/>
        </w:rPr>
        <w:t xml:space="preserve"> gross margin of all UK offices, from a position towards bottom</w:t>
      </w:r>
      <w:r w:rsidR="00313A32">
        <w:rPr>
          <w:bCs/>
          <w:sz w:val="22"/>
          <w:szCs w:val="22"/>
        </w:rPr>
        <w:t>-end</w:t>
      </w:r>
      <w:r w:rsidR="00937053">
        <w:rPr>
          <w:bCs/>
          <w:sz w:val="22"/>
          <w:szCs w:val="22"/>
        </w:rPr>
        <w:t xml:space="preserve"> of </w:t>
      </w:r>
      <w:r w:rsidR="00313A32">
        <w:rPr>
          <w:bCs/>
          <w:sz w:val="22"/>
          <w:szCs w:val="22"/>
        </w:rPr>
        <w:t>office performances</w:t>
      </w:r>
      <w:r w:rsidR="00937053">
        <w:rPr>
          <w:bCs/>
          <w:sz w:val="22"/>
          <w:szCs w:val="22"/>
        </w:rPr>
        <w:t xml:space="preserve"> before appointment.</w:t>
      </w:r>
    </w:p>
    <w:p w14:paraId="566713BD" w14:textId="77777777" w:rsidR="007B65B6" w:rsidRPr="007B65B6" w:rsidRDefault="007B65B6" w:rsidP="001734B0">
      <w:pPr>
        <w:rPr>
          <w:bCs/>
          <w:sz w:val="22"/>
          <w:szCs w:val="22"/>
        </w:rPr>
      </w:pPr>
    </w:p>
    <w:p w14:paraId="4B6D1825" w14:textId="77777777" w:rsidR="003D5ADA" w:rsidRDefault="00342D67" w:rsidP="00342D67">
      <w:pPr>
        <w:rPr>
          <w:bCs/>
          <w:sz w:val="22"/>
          <w:szCs w:val="22"/>
        </w:rPr>
      </w:pPr>
      <w:r>
        <w:rPr>
          <w:b/>
          <w:bCs/>
          <w:i/>
          <w:sz w:val="22"/>
          <w:szCs w:val="22"/>
        </w:rPr>
        <w:t>National Head of Transaction Services</w:t>
      </w:r>
      <w:r w:rsidRPr="00C42819">
        <w:rPr>
          <w:b/>
          <w:bCs/>
          <w:i/>
          <w:sz w:val="22"/>
          <w:szCs w:val="22"/>
        </w:rPr>
        <w:t xml:space="preserve"> | Grant Thornton | </w:t>
      </w:r>
      <w:r>
        <w:rPr>
          <w:b/>
          <w:bCs/>
          <w:i/>
          <w:sz w:val="22"/>
          <w:szCs w:val="22"/>
        </w:rPr>
        <w:t>2006  - 2009</w:t>
      </w:r>
      <w:r>
        <w:rPr>
          <w:b/>
          <w:bCs/>
          <w:i/>
          <w:sz w:val="22"/>
          <w:szCs w:val="22"/>
        </w:rPr>
        <w:br/>
      </w:r>
      <w:r w:rsidR="006A2C4F">
        <w:rPr>
          <w:bCs/>
          <w:sz w:val="22"/>
          <w:szCs w:val="22"/>
        </w:rPr>
        <w:t>From appointment as partner in 2001 engaged in Transaction Services role, advising clients on acquisitions, disposals and flotations.  Sector experience included manufacturing, retail, professional practices, business services and motor retail.</w:t>
      </w:r>
      <w:r w:rsidR="003D5ADA">
        <w:rPr>
          <w:bCs/>
          <w:sz w:val="22"/>
          <w:szCs w:val="22"/>
        </w:rPr>
        <w:t xml:space="preserve"> PLC experience across ~30 transactions (IPO and secondary fundraisings / acquisitions).</w:t>
      </w:r>
    </w:p>
    <w:p w14:paraId="33441F28" w14:textId="77777777" w:rsidR="00397D4A" w:rsidRDefault="00397D4A" w:rsidP="00342D67">
      <w:pPr>
        <w:rPr>
          <w:bCs/>
          <w:sz w:val="22"/>
          <w:szCs w:val="22"/>
        </w:rPr>
      </w:pPr>
    </w:p>
    <w:p w14:paraId="576C0198" w14:textId="77777777" w:rsidR="006A2C4F" w:rsidRPr="006A2C4F" w:rsidRDefault="006A2C4F" w:rsidP="00342D67">
      <w:pPr>
        <w:rPr>
          <w:bCs/>
          <w:sz w:val="22"/>
          <w:szCs w:val="22"/>
        </w:rPr>
      </w:pPr>
      <w:r>
        <w:rPr>
          <w:bCs/>
          <w:sz w:val="22"/>
          <w:szCs w:val="22"/>
        </w:rPr>
        <w:t xml:space="preserve">Appointed service stream </w:t>
      </w:r>
      <w:r w:rsidR="00397D4A">
        <w:rPr>
          <w:bCs/>
          <w:sz w:val="22"/>
          <w:szCs w:val="22"/>
        </w:rPr>
        <w:t>head in 2006</w:t>
      </w:r>
      <w:r>
        <w:rPr>
          <w:bCs/>
          <w:sz w:val="22"/>
          <w:szCs w:val="22"/>
        </w:rPr>
        <w:t xml:space="preserve">.  Within two years </w:t>
      </w:r>
      <w:r w:rsidR="00397D4A">
        <w:rPr>
          <w:bCs/>
          <w:sz w:val="22"/>
          <w:szCs w:val="22"/>
        </w:rPr>
        <w:t xml:space="preserve">of appointment </w:t>
      </w:r>
      <w:r>
        <w:rPr>
          <w:bCs/>
          <w:sz w:val="22"/>
          <w:szCs w:val="22"/>
        </w:rPr>
        <w:t>had doubled the size of the department, including partner recruitment, geographical expansion and development of service offering.  With onset of financial recession downscaled the department, managing transfer of skills to corporate recovery and other disciplines.</w:t>
      </w:r>
    </w:p>
    <w:p w14:paraId="658609AB" w14:textId="77777777" w:rsidR="006A2C4F" w:rsidRPr="00C42819" w:rsidRDefault="006A2C4F" w:rsidP="00342D67">
      <w:pPr>
        <w:rPr>
          <w:b/>
          <w:bCs/>
          <w:i/>
          <w:sz w:val="22"/>
          <w:szCs w:val="22"/>
        </w:rPr>
      </w:pPr>
    </w:p>
    <w:p w14:paraId="622DE313" w14:textId="77777777" w:rsidR="006B433F" w:rsidRPr="006B433F" w:rsidRDefault="006B433F" w:rsidP="006B433F">
      <w:pPr>
        <w:pStyle w:val="BulletOne"/>
        <w:numPr>
          <w:ilvl w:val="0"/>
          <w:numId w:val="0"/>
        </w:numPr>
        <w:rPr>
          <w:b/>
          <w:i/>
          <w:sz w:val="22"/>
          <w:szCs w:val="22"/>
        </w:rPr>
      </w:pPr>
      <w:r w:rsidRPr="006B433F">
        <w:rPr>
          <w:b/>
          <w:i/>
          <w:sz w:val="22"/>
          <w:szCs w:val="22"/>
        </w:rPr>
        <w:t>Transaction Services Partner | Grant Thornton | 2001  - 2006</w:t>
      </w:r>
    </w:p>
    <w:p w14:paraId="156D36B5" w14:textId="77777777" w:rsidR="006B433F" w:rsidRPr="006B433F" w:rsidRDefault="006B433F" w:rsidP="006B433F">
      <w:pPr>
        <w:pStyle w:val="BulletOne"/>
        <w:numPr>
          <w:ilvl w:val="0"/>
          <w:numId w:val="0"/>
        </w:numPr>
        <w:rPr>
          <w:sz w:val="22"/>
          <w:szCs w:val="22"/>
        </w:rPr>
      </w:pPr>
      <w:r w:rsidRPr="006B433F">
        <w:rPr>
          <w:b/>
          <w:i/>
          <w:sz w:val="22"/>
          <w:szCs w:val="22"/>
        </w:rPr>
        <w:t>Audit trainee to Transaction Services Senior Manager | Grant Thornton | 1989  - 2001</w:t>
      </w:r>
    </w:p>
    <w:p w14:paraId="19D87953" w14:textId="77777777" w:rsidR="003D266A" w:rsidRPr="00313A32" w:rsidRDefault="003D266A" w:rsidP="003D266A">
      <w:pPr>
        <w:pStyle w:val="BulletOne"/>
        <w:numPr>
          <w:ilvl w:val="0"/>
          <w:numId w:val="0"/>
        </w:numPr>
        <w:ind w:left="340"/>
        <w:rPr>
          <w:sz w:val="22"/>
          <w:szCs w:val="22"/>
        </w:rPr>
      </w:pPr>
    </w:p>
    <w:tbl>
      <w:tblPr>
        <w:tblW w:w="9576" w:type="dxa"/>
        <w:tblLook w:val="0000" w:firstRow="0" w:lastRow="0" w:firstColumn="0" w:lastColumn="0" w:noHBand="0" w:noVBand="0"/>
      </w:tblPr>
      <w:tblGrid>
        <w:gridCol w:w="9576"/>
      </w:tblGrid>
      <w:tr w:rsidR="003D266A" w:rsidRPr="0048361F" w14:paraId="1417AF65" w14:textId="77777777" w:rsidTr="00B711D9">
        <w:trPr>
          <w:cantSplit/>
          <w:trHeight w:hRule="exact" w:val="144"/>
        </w:trPr>
        <w:tc>
          <w:tcPr>
            <w:tcW w:w="9576" w:type="dxa"/>
            <w:tcBorders>
              <w:bottom w:val="single" w:sz="4" w:space="0" w:color="auto"/>
            </w:tcBorders>
            <w:tcMar>
              <w:left w:w="0" w:type="dxa"/>
              <w:right w:w="0" w:type="dxa"/>
            </w:tcMar>
          </w:tcPr>
          <w:p w14:paraId="20B32824" w14:textId="77777777" w:rsidR="003D266A" w:rsidRPr="0048361F" w:rsidRDefault="003D266A" w:rsidP="00B711D9">
            <w:pPr>
              <w:jc w:val="both"/>
              <w:rPr>
                <w:rFonts w:cs="Arial"/>
                <w:sz w:val="16"/>
                <w:szCs w:val="16"/>
              </w:rPr>
            </w:pPr>
            <w:r w:rsidRPr="0048361F">
              <w:rPr>
                <w:rFonts w:cs="Arial"/>
                <w:sz w:val="16"/>
                <w:szCs w:val="16"/>
              </w:rPr>
              <w:br/>
            </w:r>
          </w:p>
        </w:tc>
      </w:tr>
      <w:tr w:rsidR="003D266A" w:rsidRPr="0048361F" w14:paraId="685258B7" w14:textId="77777777" w:rsidTr="00B711D9">
        <w:trPr>
          <w:cantSplit/>
          <w:trHeight w:hRule="exact" w:val="288"/>
        </w:trPr>
        <w:tc>
          <w:tcPr>
            <w:tcW w:w="9576" w:type="dxa"/>
            <w:tcMar>
              <w:left w:w="0" w:type="dxa"/>
              <w:right w:w="0" w:type="dxa"/>
            </w:tcMar>
          </w:tcPr>
          <w:p w14:paraId="6BB05FA6" w14:textId="77777777" w:rsidR="003D266A" w:rsidRPr="0048361F" w:rsidRDefault="003D266A" w:rsidP="00B711D9">
            <w:pPr>
              <w:pStyle w:val="Heading8"/>
              <w:numPr>
                <w:ilvl w:val="0"/>
                <w:numId w:val="0"/>
              </w:numPr>
              <w:rPr>
                <w:rFonts w:ascii="Garamond" w:hAnsi="Garamond"/>
                <w:sz w:val="16"/>
                <w:szCs w:val="16"/>
              </w:rPr>
            </w:pPr>
          </w:p>
        </w:tc>
      </w:tr>
    </w:tbl>
    <w:p w14:paraId="3A225699" w14:textId="77777777" w:rsidR="00F36428" w:rsidRPr="00F36428" w:rsidRDefault="00F36428" w:rsidP="001734B0">
      <w:pPr>
        <w:rPr>
          <w:b/>
          <w:bCs/>
          <w:sz w:val="22"/>
          <w:szCs w:val="22"/>
        </w:rPr>
      </w:pPr>
      <w:r>
        <w:rPr>
          <w:b/>
          <w:bCs/>
          <w:sz w:val="22"/>
          <w:szCs w:val="22"/>
        </w:rPr>
        <w:t>EDUCATION</w:t>
      </w:r>
    </w:p>
    <w:p w14:paraId="5260F78F" w14:textId="77777777" w:rsidR="00754C51" w:rsidRDefault="00754C51" w:rsidP="00754C51">
      <w:pPr>
        <w:ind w:left="2835" w:hanging="2835"/>
        <w:rPr>
          <w:bCs/>
          <w:sz w:val="20"/>
        </w:rPr>
      </w:pPr>
      <w:r>
        <w:rPr>
          <w:b/>
          <w:bCs/>
          <w:i/>
          <w:sz w:val="20"/>
        </w:rPr>
        <w:t>ICAEW</w:t>
      </w:r>
      <w:r>
        <w:rPr>
          <w:b/>
          <w:bCs/>
          <w:i/>
          <w:sz w:val="20"/>
        </w:rPr>
        <w:tab/>
      </w:r>
      <w:r>
        <w:rPr>
          <w:bCs/>
          <w:sz w:val="20"/>
        </w:rPr>
        <w:t>ACA qualified</w:t>
      </w:r>
    </w:p>
    <w:p w14:paraId="6D0609D4" w14:textId="77777777" w:rsidR="00754C51" w:rsidRPr="00754C51" w:rsidRDefault="00754C51" w:rsidP="00754C51">
      <w:pPr>
        <w:ind w:left="2835" w:hanging="2835"/>
        <w:rPr>
          <w:bCs/>
          <w:sz w:val="20"/>
        </w:rPr>
      </w:pPr>
      <w:r>
        <w:rPr>
          <w:bCs/>
          <w:sz w:val="20"/>
        </w:rPr>
        <w:t>1989 - 1992</w:t>
      </w:r>
      <w:r>
        <w:rPr>
          <w:bCs/>
          <w:sz w:val="20"/>
        </w:rPr>
        <w:tab/>
        <w:t>First-time passes at all levels</w:t>
      </w:r>
    </w:p>
    <w:p w14:paraId="1BB404E7" w14:textId="77777777" w:rsidR="00754C51" w:rsidRDefault="00754C51" w:rsidP="00F36428">
      <w:pPr>
        <w:ind w:left="2835" w:hanging="2835"/>
        <w:rPr>
          <w:b/>
          <w:bCs/>
          <w:i/>
          <w:sz w:val="20"/>
        </w:rPr>
      </w:pPr>
    </w:p>
    <w:p w14:paraId="642CC132" w14:textId="77777777" w:rsidR="00F36428" w:rsidRDefault="00F36428" w:rsidP="00F36428">
      <w:pPr>
        <w:ind w:left="2835" w:hanging="2835"/>
        <w:rPr>
          <w:bCs/>
          <w:sz w:val="20"/>
        </w:rPr>
      </w:pPr>
      <w:r>
        <w:rPr>
          <w:b/>
          <w:bCs/>
          <w:i/>
          <w:sz w:val="20"/>
        </w:rPr>
        <w:t xml:space="preserve">University of </w:t>
      </w:r>
      <w:r w:rsidR="00754C51">
        <w:rPr>
          <w:b/>
          <w:bCs/>
          <w:i/>
          <w:sz w:val="20"/>
        </w:rPr>
        <w:t>Nottingham</w:t>
      </w:r>
      <w:r>
        <w:rPr>
          <w:b/>
          <w:bCs/>
          <w:i/>
          <w:sz w:val="20"/>
        </w:rPr>
        <w:tab/>
      </w:r>
      <w:r w:rsidR="00754C51">
        <w:rPr>
          <w:bCs/>
          <w:sz w:val="20"/>
        </w:rPr>
        <w:t>Bachelor of Science</w:t>
      </w:r>
      <w:r>
        <w:rPr>
          <w:bCs/>
          <w:sz w:val="20"/>
        </w:rPr>
        <w:t xml:space="preserve"> | </w:t>
      </w:r>
      <w:r w:rsidR="00754C51">
        <w:rPr>
          <w:bCs/>
          <w:sz w:val="20"/>
        </w:rPr>
        <w:t>2.</w:t>
      </w:r>
      <w:r>
        <w:rPr>
          <w:bCs/>
          <w:sz w:val="20"/>
        </w:rPr>
        <w:t>1</w:t>
      </w:r>
      <w:r w:rsidR="00754C51">
        <w:rPr>
          <w:bCs/>
          <w:sz w:val="20"/>
        </w:rPr>
        <w:t xml:space="preserve"> Honours</w:t>
      </w:r>
    </w:p>
    <w:p w14:paraId="23FC8C9C" w14:textId="77777777" w:rsidR="00F36428" w:rsidRDefault="00754C51" w:rsidP="00F36428">
      <w:pPr>
        <w:ind w:left="2835" w:hanging="2835"/>
        <w:rPr>
          <w:bCs/>
          <w:sz w:val="20"/>
        </w:rPr>
      </w:pPr>
      <w:r>
        <w:rPr>
          <w:bCs/>
          <w:sz w:val="20"/>
        </w:rPr>
        <w:t>1986</w:t>
      </w:r>
      <w:r w:rsidR="00052154">
        <w:rPr>
          <w:bCs/>
          <w:sz w:val="20"/>
        </w:rPr>
        <w:t xml:space="preserve"> - 19</w:t>
      </w:r>
      <w:r>
        <w:rPr>
          <w:bCs/>
          <w:sz w:val="20"/>
        </w:rPr>
        <w:t>8</w:t>
      </w:r>
      <w:r w:rsidR="00052154">
        <w:rPr>
          <w:bCs/>
          <w:sz w:val="20"/>
        </w:rPr>
        <w:t>9</w:t>
      </w:r>
      <w:r>
        <w:rPr>
          <w:bCs/>
          <w:sz w:val="20"/>
        </w:rPr>
        <w:tab/>
        <w:t>Nutritional Biochemistry</w:t>
      </w:r>
    </w:p>
    <w:p w14:paraId="2AAAF04D" w14:textId="77777777" w:rsidR="00F36428" w:rsidRDefault="00F36428" w:rsidP="00F36428">
      <w:pPr>
        <w:ind w:left="2835" w:hanging="2835"/>
        <w:rPr>
          <w:b/>
          <w:bCs/>
          <w:i/>
          <w:sz w:val="20"/>
        </w:rPr>
      </w:pPr>
    </w:p>
    <w:p w14:paraId="7AD17337" w14:textId="77777777" w:rsidR="00052154" w:rsidRDefault="00754C51" w:rsidP="00F36428">
      <w:pPr>
        <w:ind w:left="2835" w:hanging="2835"/>
        <w:rPr>
          <w:sz w:val="20"/>
        </w:rPr>
      </w:pPr>
      <w:r>
        <w:rPr>
          <w:b/>
          <w:i/>
          <w:sz w:val="20"/>
        </w:rPr>
        <w:t>Turton High School, Bolton</w:t>
      </w:r>
      <w:r w:rsidR="00052154">
        <w:rPr>
          <w:b/>
          <w:i/>
          <w:sz w:val="20"/>
        </w:rPr>
        <w:tab/>
      </w:r>
      <w:r w:rsidR="009A7C87">
        <w:rPr>
          <w:sz w:val="20"/>
        </w:rPr>
        <w:t>"A" Level | 1984 - 1986</w:t>
      </w:r>
      <w:r w:rsidR="009B6B1E">
        <w:rPr>
          <w:sz w:val="20"/>
        </w:rPr>
        <w:t xml:space="preserve"> </w:t>
      </w:r>
    </w:p>
    <w:p w14:paraId="503DFC7E" w14:textId="77777777" w:rsidR="009E3514" w:rsidRDefault="009A7C87" w:rsidP="009E3514">
      <w:pPr>
        <w:ind w:left="2835" w:hanging="2835"/>
        <w:rPr>
          <w:sz w:val="20"/>
        </w:rPr>
      </w:pPr>
      <w:r>
        <w:rPr>
          <w:sz w:val="20"/>
        </w:rPr>
        <w:t>1979 – 1986</w:t>
      </w:r>
      <w:r>
        <w:rPr>
          <w:sz w:val="20"/>
        </w:rPr>
        <w:tab/>
        <w:t>Mathematics (A) | Biology (B) | Chemistry (B) | General Studies (B)</w:t>
      </w:r>
    </w:p>
    <w:p w14:paraId="750C3CD2" w14:textId="77777777" w:rsidR="009E3514" w:rsidRDefault="009A7C87" w:rsidP="009E3514">
      <w:pPr>
        <w:ind w:left="2835" w:hanging="2835"/>
        <w:rPr>
          <w:sz w:val="20"/>
        </w:rPr>
      </w:pPr>
      <w:r>
        <w:rPr>
          <w:sz w:val="20"/>
        </w:rPr>
        <w:tab/>
      </w:r>
    </w:p>
    <w:p w14:paraId="71863654" w14:textId="77777777" w:rsidR="009E3514" w:rsidRDefault="009E3514" w:rsidP="009A7C87">
      <w:pPr>
        <w:ind w:left="2835" w:hanging="2835"/>
        <w:rPr>
          <w:sz w:val="20"/>
        </w:rPr>
      </w:pPr>
      <w:r>
        <w:rPr>
          <w:sz w:val="20"/>
        </w:rPr>
        <w:tab/>
      </w:r>
      <w:r w:rsidR="009A7C87">
        <w:rPr>
          <w:sz w:val="20"/>
        </w:rPr>
        <w:t>"O" Level</w:t>
      </w:r>
      <w:r>
        <w:rPr>
          <w:sz w:val="20"/>
        </w:rPr>
        <w:t xml:space="preserve"> |</w:t>
      </w:r>
      <w:r w:rsidR="00397D4A">
        <w:rPr>
          <w:sz w:val="20"/>
        </w:rPr>
        <w:t>1982</w:t>
      </w:r>
      <w:r w:rsidR="009A7C87">
        <w:rPr>
          <w:sz w:val="20"/>
        </w:rPr>
        <w:t xml:space="preserve"> - 1984</w:t>
      </w:r>
      <w:r w:rsidR="00313A32">
        <w:rPr>
          <w:sz w:val="20"/>
        </w:rPr>
        <w:t xml:space="preserve"> | </w:t>
      </w:r>
      <w:r w:rsidR="009A7C87">
        <w:rPr>
          <w:sz w:val="20"/>
        </w:rPr>
        <w:t xml:space="preserve">4 </w:t>
      </w:r>
      <w:r>
        <w:rPr>
          <w:sz w:val="20"/>
        </w:rPr>
        <w:t xml:space="preserve">Grade </w:t>
      </w:r>
      <w:r w:rsidR="009A7C87">
        <w:rPr>
          <w:sz w:val="20"/>
        </w:rPr>
        <w:t>A, 3 Grade B, 1 Grade C</w:t>
      </w:r>
    </w:p>
    <w:p w14:paraId="44DF200A" w14:textId="77777777" w:rsidR="009E3514" w:rsidRDefault="009E3514" w:rsidP="009E3514">
      <w:pPr>
        <w:rPr>
          <w:sz w:val="20"/>
        </w:rPr>
      </w:pPr>
    </w:p>
    <w:tbl>
      <w:tblPr>
        <w:tblW w:w="9576" w:type="dxa"/>
        <w:tblLook w:val="0000" w:firstRow="0" w:lastRow="0" w:firstColumn="0" w:lastColumn="0" w:noHBand="0" w:noVBand="0"/>
      </w:tblPr>
      <w:tblGrid>
        <w:gridCol w:w="9576"/>
      </w:tblGrid>
      <w:tr w:rsidR="009E3514" w:rsidRPr="00471368" w14:paraId="3C617F64" w14:textId="77777777" w:rsidTr="00CD24D9">
        <w:trPr>
          <w:cantSplit/>
          <w:trHeight w:hRule="exact" w:val="144"/>
        </w:trPr>
        <w:tc>
          <w:tcPr>
            <w:tcW w:w="9576" w:type="dxa"/>
            <w:tcBorders>
              <w:bottom w:val="single" w:sz="4" w:space="0" w:color="auto"/>
            </w:tcBorders>
            <w:tcMar>
              <w:left w:w="0" w:type="dxa"/>
              <w:right w:w="0" w:type="dxa"/>
            </w:tcMar>
          </w:tcPr>
          <w:p w14:paraId="3EDCEC49" w14:textId="77777777" w:rsidR="009E3514" w:rsidRPr="00471368" w:rsidRDefault="009E3514" w:rsidP="00CD24D9">
            <w:pPr>
              <w:jc w:val="both"/>
              <w:rPr>
                <w:rFonts w:cs="Arial"/>
              </w:rPr>
            </w:pPr>
          </w:p>
        </w:tc>
      </w:tr>
      <w:tr w:rsidR="009E3514" w:rsidRPr="00471368" w14:paraId="39A87F47" w14:textId="77777777" w:rsidTr="00CD24D9">
        <w:trPr>
          <w:cantSplit/>
          <w:trHeight w:hRule="exact" w:val="288"/>
        </w:trPr>
        <w:tc>
          <w:tcPr>
            <w:tcW w:w="9576" w:type="dxa"/>
            <w:tcMar>
              <w:left w:w="0" w:type="dxa"/>
              <w:right w:w="0" w:type="dxa"/>
            </w:tcMar>
          </w:tcPr>
          <w:p w14:paraId="0360F520" w14:textId="77777777" w:rsidR="009E3514" w:rsidRPr="00471368" w:rsidRDefault="009E3514" w:rsidP="00CD24D9">
            <w:pPr>
              <w:pStyle w:val="Heading8"/>
              <w:numPr>
                <w:ilvl w:val="0"/>
                <w:numId w:val="0"/>
              </w:numPr>
              <w:rPr>
                <w:rFonts w:ascii="Garamond" w:hAnsi="Garamond"/>
              </w:rPr>
            </w:pPr>
          </w:p>
        </w:tc>
      </w:tr>
    </w:tbl>
    <w:p w14:paraId="1027988B" w14:textId="77777777" w:rsidR="009E3514" w:rsidRPr="00313A32" w:rsidRDefault="009E3514" w:rsidP="009E3514">
      <w:pPr>
        <w:rPr>
          <w:b/>
          <w:sz w:val="22"/>
          <w:szCs w:val="22"/>
        </w:rPr>
      </w:pPr>
      <w:r w:rsidRPr="00313A32">
        <w:rPr>
          <w:b/>
          <w:sz w:val="22"/>
          <w:szCs w:val="22"/>
        </w:rPr>
        <w:t>REFERENCES</w:t>
      </w:r>
    </w:p>
    <w:p w14:paraId="5A13C67D" w14:textId="77777777" w:rsidR="00F36428" w:rsidRPr="00687848" w:rsidRDefault="009E3514" w:rsidP="001734B0">
      <w:pPr>
        <w:rPr>
          <w:sz w:val="20"/>
        </w:rPr>
      </w:pPr>
      <w:r>
        <w:rPr>
          <w:sz w:val="20"/>
        </w:rPr>
        <w:t>Available on request</w:t>
      </w:r>
    </w:p>
    <w:sectPr w:rsidR="00F36428" w:rsidRPr="00687848" w:rsidSect="007906E2">
      <w:footerReference w:type="even" r:id="rId8"/>
      <w:footerReference w:type="default" r:id="rId9"/>
      <w:pgSz w:w="11906" w:h="16838" w:code="9"/>
      <w:pgMar w:top="1440" w:right="1440" w:bottom="1440" w:left="1440"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BE304" w14:textId="77777777" w:rsidR="00D76DB1" w:rsidRDefault="00D76DB1">
      <w:r>
        <w:separator/>
      </w:r>
    </w:p>
  </w:endnote>
  <w:endnote w:type="continuationSeparator" w:id="0">
    <w:p w14:paraId="7F549066" w14:textId="77777777" w:rsidR="00D76DB1" w:rsidRDefault="00D7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47501" w14:textId="77777777" w:rsidR="00C97B28" w:rsidRDefault="00003544">
    <w:pPr>
      <w:pStyle w:val="Footer"/>
      <w:framePr w:wrap="around" w:vAnchor="text" w:hAnchor="margin" w:xAlign="right" w:y="1"/>
    </w:pPr>
    <w:r>
      <w:fldChar w:fldCharType="begin"/>
    </w:r>
    <w:r w:rsidR="00C97B28">
      <w:instrText xml:space="preserve">PAGE  </w:instrText>
    </w:r>
    <w:r>
      <w:fldChar w:fldCharType="end"/>
    </w:r>
  </w:p>
  <w:p w14:paraId="5D6989AB" w14:textId="77777777" w:rsidR="00C97B28" w:rsidRDefault="00C97B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2059" w14:textId="77777777" w:rsidR="00C97B28" w:rsidRDefault="00003544" w:rsidP="008715A2">
    <w:pPr>
      <w:pStyle w:val="Footer"/>
      <w:framePr w:w="851" w:wrap="around" w:vAnchor="text" w:hAnchor="margin" w:xAlign="right" w:y="1" w:anchorLock="1"/>
      <w:shd w:val="clear" w:color="FFFFFF" w:fill="auto"/>
      <w:jc w:val="right"/>
    </w:pPr>
    <w:r>
      <w:fldChar w:fldCharType="begin"/>
    </w:r>
    <w:r w:rsidR="00EB601B">
      <w:instrText xml:space="preserve"> PAGE \* MERGEFORMAT </w:instrText>
    </w:r>
    <w:r>
      <w:fldChar w:fldCharType="separate"/>
    </w:r>
    <w:r w:rsidR="006D5204">
      <w:rPr>
        <w:noProof/>
      </w:rPr>
      <w:t>3</w:t>
    </w:r>
    <w:r>
      <w:rPr>
        <w:noProof/>
      </w:rPr>
      <w:fldChar w:fldCharType="end"/>
    </w:r>
  </w:p>
  <w:p w14:paraId="78B8C886" w14:textId="77777777" w:rsidR="00C97B28" w:rsidRDefault="00C97B28" w:rsidP="00871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BDF9" w14:textId="77777777" w:rsidR="00D76DB1" w:rsidRDefault="00D76DB1">
      <w:pPr>
        <w:pStyle w:val="Footer"/>
      </w:pPr>
    </w:p>
  </w:footnote>
  <w:footnote w:type="continuationSeparator" w:id="0">
    <w:p w14:paraId="5C5DC373" w14:textId="77777777" w:rsidR="00D76DB1" w:rsidRDefault="00D76DB1">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6F37"/>
    <w:multiLevelType w:val="multilevel"/>
    <w:tmpl w:val="4B4AC8FC"/>
    <w:lvl w:ilvl="0">
      <w:start w:val="1"/>
      <w:numFmt w:val="upperLetter"/>
      <w:pStyle w:val="AppendixTitle"/>
      <w:lvlText w:val="%1"/>
      <w:lvlJc w:val="left"/>
      <w:pPr>
        <w:tabs>
          <w:tab w:val="num" w:pos="454"/>
        </w:tabs>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ADF3F1F"/>
    <w:multiLevelType w:val="hybridMultilevel"/>
    <w:tmpl w:val="2CC02776"/>
    <w:lvl w:ilvl="0" w:tplc="125833B8">
      <w:start w:val="1"/>
      <w:numFmt w:val="bullet"/>
      <w:lvlText w:val="-"/>
      <w:lvlJc w:val="left"/>
      <w:pPr>
        <w:tabs>
          <w:tab w:val="num" w:pos="814"/>
        </w:tabs>
        <w:ind w:left="680" w:hanging="226"/>
      </w:pPr>
      <w:rPr>
        <w:rFonts w:ascii="Garamond" w:hAnsi="Garamond" w:hint="default"/>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4088"/>
        </w:tabs>
        <w:ind w:left="4088" w:hanging="360"/>
      </w:pPr>
      <w:rPr>
        <w:rFonts w:ascii="Wingdings" w:hAnsi="Wingdings" w:hint="default"/>
      </w:rPr>
    </w:lvl>
    <w:lvl w:ilvl="3" w:tplc="04090001" w:tentative="1">
      <w:start w:val="1"/>
      <w:numFmt w:val="bullet"/>
      <w:lvlText w:val=""/>
      <w:lvlJc w:val="left"/>
      <w:pPr>
        <w:tabs>
          <w:tab w:val="num" w:pos="4808"/>
        </w:tabs>
        <w:ind w:left="4808" w:hanging="360"/>
      </w:pPr>
      <w:rPr>
        <w:rFonts w:ascii="Symbol" w:hAnsi="Symbol" w:hint="default"/>
      </w:rPr>
    </w:lvl>
    <w:lvl w:ilvl="4" w:tplc="04090003" w:tentative="1">
      <w:start w:val="1"/>
      <w:numFmt w:val="bullet"/>
      <w:lvlText w:val="o"/>
      <w:lvlJc w:val="left"/>
      <w:pPr>
        <w:tabs>
          <w:tab w:val="num" w:pos="5528"/>
        </w:tabs>
        <w:ind w:left="5528" w:hanging="360"/>
      </w:pPr>
      <w:rPr>
        <w:rFonts w:ascii="Courier New" w:hAnsi="Courier New" w:hint="default"/>
      </w:rPr>
    </w:lvl>
    <w:lvl w:ilvl="5" w:tplc="04090005" w:tentative="1">
      <w:start w:val="1"/>
      <w:numFmt w:val="bullet"/>
      <w:lvlText w:val=""/>
      <w:lvlJc w:val="left"/>
      <w:pPr>
        <w:tabs>
          <w:tab w:val="num" w:pos="6248"/>
        </w:tabs>
        <w:ind w:left="6248" w:hanging="360"/>
      </w:pPr>
      <w:rPr>
        <w:rFonts w:ascii="Wingdings" w:hAnsi="Wingdings" w:hint="default"/>
      </w:rPr>
    </w:lvl>
    <w:lvl w:ilvl="6" w:tplc="04090001" w:tentative="1">
      <w:start w:val="1"/>
      <w:numFmt w:val="bullet"/>
      <w:lvlText w:val=""/>
      <w:lvlJc w:val="left"/>
      <w:pPr>
        <w:tabs>
          <w:tab w:val="num" w:pos="6968"/>
        </w:tabs>
        <w:ind w:left="6968" w:hanging="360"/>
      </w:pPr>
      <w:rPr>
        <w:rFonts w:ascii="Symbol" w:hAnsi="Symbol" w:hint="default"/>
      </w:rPr>
    </w:lvl>
    <w:lvl w:ilvl="7" w:tplc="04090003" w:tentative="1">
      <w:start w:val="1"/>
      <w:numFmt w:val="bullet"/>
      <w:lvlText w:val="o"/>
      <w:lvlJc w:val="left"/>
      <w:pPr>
        <w:tabs>
          <w:tab w:val="num" w:pos="7688"/>
        </w:tabs>
        <w:ind w:left="7688" w:hanging="360"/>
      </w:pPr>
      <w:rPr>
        <w:rFonts w:ascii="Courier New" w:hAnsi="Courier New" w:hint="default"/>
      </w:rPr>
    </w:lvl>
    <w:lvl w:ilvl="8" w:tplc="04090005" w:tentative="1">
      <w:start w:val="1"/>
      <w:numFmt w:val="bullet"/>
      <w:lvlText w:val=""/>
      <w:lvlJc w:val="left"/>
      <w:pPr>
        <w:tabs>
          <w:tab w:val="num" w:pos="8408"/>
        </w:tabs>
        <w:ind w:left="8408" w:hanging="360"/>
      </w:pPr>
      <w:rPr>
        <w:rFonts w:ascii="Wingdings" w:hAnsi="Wingdings" w:hint="default"/>
      </w:rPr>
    </w:lvl>
  </w:abstractNum>
  <w:abstractNum w:abstractNumId="2" w15:restartNumberingAfterBreak="0">
    <w:nsid w:val="174A1544"/>
    <w:multiLevelType w:val="hybridMultilevel"/>
    <w:tmpl w:val="67B4CF88"/>
    <w:lvl w:ilvl="0" w:tplc="8716EE3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2404"/>
        </w:tabs>
        <w:ind w:left="2404" w:hanging="360"/>
      </w:pPr>
      <w:rPr>
        <w:rFonts w:ascii="Courier New" w:hAnsi="Courier New" w:hint="default"/>
      </w:rPr>
    </w:lvl>
    <w:lvl w:ilvl="2" w:tplc="04090005" w:tentative="1">
      <w:start w:val="1"/>
      <w:numFmt w:val="bullet"/>
      <w:lvlText w:val=""/>
      <w:lvlJc w:val="left"/>
      <w:pPr>
        <w:tabs>
          <w:tab w:val="num" w:pos="3124"/>
        </w:tabs>
        <w:ind w:left="3124" w:hanging="360"/>
      </w:pPr>
      <w:rPr>
        <w:rFonts w:ascii="Wingdings" w:hAnsi="Wingdings" w:hint="default"/>
      </w:rPr>
    </w:lvl>
    <w:lvl w:ilvl="3" w:tplc="04090001" w:tentative="1">
      <w:start w:val="1"/>
      <w:numFmt w:val="bullet"/>
      <w:lvlText w:val=""/>
      <w:lvlJc w:val="left"/>
      <w:pPr>
        <w:tabs>
          <w:tab w:val="num" w:pos="3844"/>
        </w:tabs>
        <w:ind w:left="3844" w:hanging="360"/>
      </w:pPr>
      <w:rPr>
        <w:rFonts w:ascii="Symbol" w:hAnsi="Symbol" w:hint="default"/>
      </w:rPr>
    </w:lvl>
    <w:lvl w:ilvl="4" w:tplc="04090003" w:tentative="1">
      <w:start w:val="1"/>
      <w:numFmt w:val="bullet"/>
      <w:lvlText w:val="o"/>
      <w:lvlJc w:val="left"/>
      <w:pPr>
        <w:tabs>
          <w:tab w:val="num" w:pos="4564"/>
        </w:tabs>
        <w:ind w:left="4564" w:hanging="360"/>
      </w:pPr>
      <w:rPr>
        <w:rFonts w:ascii="Courier New" w:hAnsi="Courier New" w:hint="default"/>
      </w:rPr>
    </w:lvl>
    <w:lvl w:ilvl="5" w:tplc="04090005" w:tentative="1">
      <w:start w:val="1"/>
      <w:numFmt w:val="bullet"/>
      <w:lvlText w:val=""/>
      <w:lvlJc w:val="left"/>
      <w:pPr>
        <w:tabs>
          <w:tab w:val="num" w:pos="5284"/>
        </w:tabs>
        <w:ind w:left="5284" w:hanging="360"/>
      </w:pPr>
      <w:rPr>
        <w:rFonts w:ascii="Wingdings" w:hAnsi="Wingdings" w:hint="default"/>
      </w:rPr>
    </w:lvl>
    <w:lvl w:ilvl="6" w:tplc="04090001" w:tentative="1">
      <w:start w:val="1"/>
      <w:numFmt w:val="bullet"/>
      <w:lvlText w:val=""/>
      <w:lvlJc w:val="left"/>
      <w:pPr>
        <w:tabs>
          <w:tab w:val="num" w:pos="6004"/>
        </w:tabs>
        <w:ind w:left="6004" w:hanging="360"/>
      </w:pPr>
      <w:rPr>
        <w:rFonts w:ascii="Symbol" w:hAnsi="Symbol" w:hint="default"/>
      </w:rPr>
    </w:lvl>
    <w:lvl w:ilvl="7" w:tplc="04090003" w:tentative="1">
      <w:start w:val="1"/>
      <w:numFmt w:val="bullet"/>
      <w:lvlText w:val="o"/>
      <w:lvlJc w:val="left"/>
      <w:pPr>
        <w:tabs>
          <w:tab w:val="num" w:pos="6724"/>
        </w:tabs>
        <w:ind w:left="6724" w:hanging="360"/>
      </w:pPr>
      <w:rPr>
        <w:rFonts w:ascii="Courier New" w:hAnsi="Courier New" w:hint="default"/>
      </w:rPr>
    </w:lvl>
    <w:lvl w:ilvl="8" w:tplc="04090005" w:tentative="1">
      <w:start w:val="1"/>
      <w:numFmt w:val="bullet"/>
      <w:lvlText w:val=""/>
      <w:lvlJc w:val="left"/>
      <w:pPr>
        <w:tabs>
          <w:tab w:val="num" w:pos="7444"/>
        </w:tabs>
        <w:ind w:left="7444" w:hanging="360"/>
      </w:pPr>
      <w:rPr>
        <w:rFonts w:ascii="Wingdings" w:hAnsi="Wingdings" w:hint="default"/>
      </w:rPr>
    </w:lvl>
  </w:abstractNum>
  <w:abstractNum w:abstractNumId="3" w15:restartNumberingAfterBreak="0">
    <w:nsid w:val="188604BC"/>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B7644EC"/>
    <w:multiLevelType w:val="multilevel"/>
    <w:tmpl w:val="3AF42A8A"/>
    <w:lvl w:ilvl="0">
      <w:start w:val="1"/>
      <w:numFmt w:val="decimal"/>
      <w:lvlText w:val="%1"/>
      <w:lvlJc w:val="left"/>
      <w:pPr>
        <w:tabs>
          <w:tab w:val="num" w:pos="0"/>
        </w:tabs>
        <w:ind w:left="0" w:hanging="851"/>
      </w:pPr>
      <w:rPr>
        <w:rFonts w:hint="default"/>
      </w:rPr>
    </w:lvl>
    <w:lvl w:ilvl="1">
      <w:start w:val="1"/>
      <w:numFmt w:val="decimal"/>
      <w:lvlText w:val="%1.%2"/>
      <w:lvlJc w:val="left"/>
      <w:pPr>
        <w:tabs>
          <w:tab w:val="num" w:pos="0"/>
        </w:tabs>
        <w:ind w:left="0" w:hanging="567"/>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5" w15:restartNumberingAfterBreak="0">
    <w:nsid w:val="21003F7E"/>
    <w:multiLevelType w:val="hybridMultilevel"/>
    <w:tmpl w:val="2598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80795"/>
    <w:multiLevelType w:val="hybridMultilevel"/>
    <w:tmpl w:val="082608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C25C0"/>
    <w:multiLevelType w:val="hybridMultilevel"/>
    <w:tmpl w:val="E1806CC2"/>
    <w:lvl w:ilvl="0" w:tplc="0809000B">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95F0D"/>
    <w:multiLevelType w:val="hybridMultilevel"/>
    <w:tmpl w:val="5D588FEC"/>
    <w:lvl w:ilvl="0" w:tplc="4D260768">
      <w:start w:val="1"/>
      <w:numFmt w:val="bullet"/>
      <w:pStyle w:val="Table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D2652"/>
    <w:multiLevelType w:val="hybridMultilevel"/>
    <w:tmpl w:val="84B2389C"/>
    <w:lvl w:ilvl="0" w:tplc="C0B69EC4">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63FA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1345D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3BF51EB"/>
    <w:multiLevelType w:val="hybridMultilevel"/>
    <w:tmpl w:val="489615FE"/>
    <w:lvl w:ilvl="0" w:tplc="7EC49772">
      <w:start w:val="1"/>
      <w:numFmt w:val="lowerRoman"/>
      <w:lvlText w:val="%1"/>
      <w:lvlJc w:val="left"/>
      <w:pPr>
        <w:tabs>
          <w:tab w:val="num" w:pos="72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3A64DA"/>
    <w:multiLevelType w:val="hybridMultilevel"/>
    <w:tmpl w:val="7744CA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A6149"/>
    <w:multiLevelType w:val="hybridMultilevel"/>
    <w:tmpl w:val="135E48FE"/>
    <w:lvl w:ilvl="0" w:tplc="7EC4977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3B71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4541EF"/>
    <w:multiLevelType w:val="multilevel"/>
    <w:tmpl w:val="43DCD2B0"/>
    <w:lvl w:ilvl="0">
      <w:start w:val="1"/>
      <w:numFmt w:val="decimal"/>
      <w:pStyle w:val="NumHead"/>
      <w:lvlText w:val="%1"/>
      <w:lvlJc w:val="left"/>
      <w:pPr>
        <w:tabs>
          <w:tab w:val="num" w:pos="0"/>
        </w:tabs>
        <w:ind w:left="0" w:hanging="567"/>
      </w:pPr>
      <w:rPr>
        <w:rFonts w:hint="default"/>
      </w:rPr>
    </w:lvl>
    <w:lvl w:ilvl="1">
      <w:start w:val="1"/>
      <w:numFmt w:val="decimal"/>
      <w:pStyle w:val="NumText"/>
      <w:lvlText w:val="%1.%2."/>
      <w:lvlJc w:val="left"/>
      <w:pPr>
        <w:tabs>
          <w:tab w:val="num" w:pos="0"/>
        </w:tabs>
        <w:ind w:left="0" w:hanging="567"/>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17" w15:restartNumberingAfterBreak="0">
    <w:nsid w:val="434325A2"/>
    <w:multiLevelType w:val="multilevel"/>
    <w:tmpl w:val="C75E14F0"/>
    <w:lvl w:ilvl="0">
      <w:start w:val="1"/>
      <w:numFmt w:val="decimal"/>
      <w:pStyle w:val="TableNumberBullet"/>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6753469"/>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71D729C"/>
    <w:multiLevelType w:val="multilevel"/>
    <w:tmpl w:val="AD528F6C"/>
    <w:lvl w:ilvl="0">
      <w:start w:val="1"/>
      <w:numFmt w:val="decimal"/>
      <w:lvlRestart w:val="0"/>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C7A3ACC"/>
    <w:multiLevelType w:val="hybridMultilevel"/>
    <w:tmpl w:val="4B7AFB74"/>
    <w:lvl w:ilvl="0" w:tplc="C2721352">
      <w:start w:val="1"/>
      <w:numFmt w:val="lowerLetter"/>
      <w:lvlText w:val="%1"/>
      <w:lvlJc w:val="left"/>
      <w:pPr>
        <w:tabs>
          <w:tab w:val="num" w:pos="2665"/>
        </w:tabs>
        <w:ind w:left="2665"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BE6198"/>
    <w:multiLevelType w:val="hybridMultilevel"/>
    <w:tmpl w:val="9FD05C3C"/>
    <w:lvl w:ilvl="0" w:tplc="26784E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B208D2"/>
    <w:multiLevelType w:val="hybridMultilevel"/>
    <w:tmpl w:val="40D6DD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637C9B"/>
    <w:multiLevelType w:val="multilevel"/>
    <w:tmpl w:val="382A18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5FC78EC"/>
    <w:multiLevelType w:val="hybridMultilevel"/>
    <w:tmpl w:val="10588116"/>
    <w:lvl w:ilvl="0" w:tplc="C57EE82A">
      <w:start w:val="1"/>
      <w:numFmt w:val="bullet"/>
      <w:pStyle w:val="BulletOne"/>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B46BAE"/>
    <w:multiLevelType w:val="multilevel"/>
    <w:tmpl w:val="3CFE55B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Restart w:val="0"/>
      <w:lvlText w:val="%1.%2.%3"/>
      <w:lvlJc w:val="left"/>
      <w:pPr>
        <w:tabs>
          <w:tab w:val="num" w:pos="964"/>
        </w:tabs>
        <w:ind w:left="964" w:hanging="9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27" w15:restartNumberingAfterBreak="0">
    <w:nsid w:val="5F836AF2"/>
    <w:multiLevelType w:val="hybridMultilevel"/>
    <w:tmpl w:val="40987F9E"/>
    <w:lvl w:ilvl="0" w:tplc="E7C63290">
      <w:start w:val="1"/>
      <w:numFmt w:val="bullet"/>
      <w:pStyle w:val="BulletTwo"/>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E8623C"/>
    <w:multiLevelType w:val="hybridMultilevel"/>
    <w:tmpl w:val="9FEC8892"/>
    <w:lvl w:ilvl="0" w:tplc="6EEA5E5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4330F0"/>
    <w:multiLevelType w:val="hybridMultilevel"/>
    <w:tmpl w:val="6584FD36"/>
    <w:lvl w:ilvl="0" w:tplc="AE78C59C">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374AC7"/>
    <w:multiLevelType w:val="multilevel"/>
    <w:tmpl w:val="1C6CE688"/>
    <w:lvl w:ilvl="0">
      <w:start w:val="1"/>
      <w:numFmt w:val="decimal"/>
      <w:lvlRestart w:val="0"/>
      <w:pStyle w:val="NumBulletOne"/>
      <w:lvlText w:val="%1"/>
      <w:lvlJc w:val="left"/>
      <w:pPr>
        <w:tabs>
          <w:tab w:val="num" w:pos="340"/>
        </w:tabs>
        <w:ind w:left="340" w:hanging="340"/>
      </w:pPr>
      <w:rPr>
        <w:rFonts w:hint="default"/>
      </w:rPr>
    </w:lvl>
    <w:lvl w:ilvl="1">
      <w:start w:val="1"/>
      <w:numFmt w:val="lowerLetter"/>
      <w:pStyle w:val="NumBulletTwo"/>
      <w:lvlText w:val="%2"/>
      <w:lvlJc w:val="left"/>
      <w:pPr>
        <w:tabs>
          <w:tab w:val="num" w:pos="680"/>
        </w:tabs>
        <w:ind w:left="680" w:hanging="340"/>
      </w:pPr>
      <w:rPr>
        <w:rFonts w:hint="default"/>
      </w:rPr>
    </w:lvl>
    <w:lvl w:ilvl="2">
      <w:start w:val="1"/>
      <w:numFmt w:val="lowerRoman"/>
      <w:pStyle w:val="NumBulletThree"/>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1" w15:restartNumberingAfterBreak="0">
    <w:nsid w:val="75476BC3"/>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78CB65D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A486E2F"/>
    <w:multiLevelType w:val="hybridMultilevel"/>
    <w:tmpl w:val="34924DBE"/>
    <w:lvl w:ilvl="0" w:tplc="C6A2F150">
      <w:start w:val="1"/>
      <w:numFmt w:val="bullet"/>
      <w:pStyle w:val="BulletThree"/>
      <w:lvlText w:val=""/>
      <w:lvlJc w:val="left"/>
      <w:pPr>
        <w:tabs>
          <w:tab w:val="num" w:pos="1021"/>
        </w:tabs>
        <w:ind w:left="1021" w:hanging="341"/>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46930302">
    <w:abstractNumId w:val="2"/>
  </w:num>
  <w:num w:numId="2" w16cid:durableId="612246190">
    <w:abstractNumId w:val="1"/>
  </w:num>
  <w:num w:numId="3" w16cid:durableId="461533685">
    <w:abstractNumId w:val="21"/>
  </w:num>
  <w:num w:numId="4" w16cid:durableId="1930430865">
    <w:abstractNumId w:val="12"/>
  </w:num>
  <w:num w:numId="5" w16cid:durableId="1626278133">
    <w:abstractNumId w:val="26"/>
  </w:num>
  <w:num w:numId="6" w16cid:durableId="1569152572">
    <w:abstractNumId w:val="26"/>
  </w:num>
  <w:num w:numId="7" w16cid:durableId="1692413293">
    <w:abstractNumId w:val="8"/>
  </w:num>
  <w:num w:numId="8" w16cid:durableId="1305625170">
    <w:abstractNumId w:val="17"/>
  </w:num>
  <w:num w:numId="9" w16cid:durableId="889682236">
    <w:abstractNumId w:val="18"/>
  </w:num>
  <w:num w:numId="10" w16cid:durableId="1120536370">
    <w:abstractNumId w:val="18"/>
  </w:num>
  <w:num w:numId="11" w16cid:durableId="201941527">
    <w:abstractNumId w:val="0"/>
  </w:num>
  <w:num w:numId="12" w16cid:durableId="915895612">
    <w:abstractNumId w:val="2"/>
  </w:num>
  <w:num w:numId="13" w16cid:durableId="416903388">
    <w:abstractNumId w:val="1"/>
  </w:num>
  <w:num w:numId="14" w16cid:durableId="1245534436">
    <w:abstractNumId w:val="21"/>
  </w:num>
  <w:num w:numId="15" w16cid:durableId="1480076747">
    <w:abstractNumId w:val="12"/>
  </w:num>
  <w:num w:numId="16" w16cid:durableId="901910491">
    <w:abstractNumId w:val="0"/>
  </w:num>
  <w:num w:numId="17" w16cid:durableId="1341349108">
    <w:abstractNumId w:val="0"/>
  </w:num>
  <w:num w:numId="18" w16cid:durableId="1898086226">
    <w:abstractNumId w:val="0"/>
  </w:num>
  <w:num w:numId="19" w16cid:durableId="1382752989">
    <w:abstractNumId w:val="8"/>
  </w:num>
  <w:num w:numId="20" w16cid:durableId="2144539993">
    <w:abstractNumId w:val="17"/>
  </w:num>
  <w:num w:numId="21" w16cid:durableId="1631980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1229141">
    <w:abstractNumId w:val="16"/>
  </w:num>
  <w:num w:numId="23" w16cid:durableId="1861895552">
    <w:abstractNumId w:val="4"/>
  </w:num>
  <w:num w:numId="24" w16cid:durableId="2003728633">
    <w:abstractNumId w:val="16"/>
  </w:num>
  <w:num w:numId="25" w16cid:durableId="1416247905">
    <w:abstractNumId w:val="16"/>
  </w:num>
  <w:num w:numId="26" w16cid:durableId="577709973">
    <w:abstractNumId w:val="11"/>
  </w:num>
  <w:num w:numId="27" w16cid:durableId="1213495321">
    <w:abstractNumId w:val="32"/>
  </w:num>
  <w:num w:numId="28" w16cid:durableId="275333444">
    <w:abstractNumId w:val="25"/>
  </w:num>
  <w:num w:numId="29" w16cid:durableId="1179733163">
    <w:abstractNumId w:val="33"/>
  </w:num>
  <w:num w:numId="30" w16cid:durableId="990910172">
    <w:abstractNumId w:val="27"/>
  </w:num>
  <w:num w:numId="31" w16cid:durableId="195236128">
    <w:abstractNumId w:val="30"/>
  </w:num>
  <w:num w:numId="32" w16cid:durableId="1808274490">
    <w:abstractNumId w:val="30"/>
  </w:num>
  <w:num w:numId="33" w16cid:durableId="467288414">
    <w:abstractNumId w:val="30"/>
  </w:num>
  <w:num w:numId="34" w16cid:durableId="1833568650">
    <w:abstractNumId w:val="10"/>
  </w:num>
  <w:num w:numId="35" w16cid:durableId="298731011">
    <w:abstractNumId w:val="20"/>
  </w:num>
  <w:num w:numId="36" w16cid:durableId="1695226003">
    <w:abstractNumId w:val="3"/>
  </w:num>
  <w:num w:numId="37" w16cid:durableId="414866458">
    <w:abstractNumId w:val="31"/>
  </w:num>
  <w:num w:numId="38" w16cid:durableId="431632579">
    <w:abstractNumId w:val="19"/>
  </w:num>
  <w:num w:numId="39" w16cid:durableId="637732034">
    <w:abstractNumId w:val="15"/>
  </w:num>
  <w:num w:numId="40" w16cid:durableId="3254767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33595987">
    <w:abstractNumId w:val="6"/>
  </w:num>
  <w:num w:numId="42" w16cid:durableId="596131709">
    <w:abstractNumId w:val="13"/>
  </w:num>
  <w:num w:numId="43" w16cid:durableId="2044670415">
    <w:abstractNumId w:val="29"/>
  </w:num>
  <w:num w:numId="44" w16cid:durableId="1904441301">
    <w:abstractNumId w:val="22"/>
  </w:num>
  <w:num w:numId="45" w16cid:durableId="2090810116">
    <w:abstractNumId w:val="9"/>
  </w:num>
  <w:num w:numId="46" w16cid:durableId="369917390">
    <w:abstractNumId w:val="14"/>
  </w:num>
  <w:num w:numId="47" w16cid:durableId="1173954162">
    <w:abstractNumId w:val="28"/>
  </w:num>
  <w:num w:numId="48" w16cid:durableId="1526862500">
    <w:abstractNumId w:val="7"/>
  </w:num>
  <w:num w:numId="49" w16cid:durableId="881403536">
    <w:abstractNumId w:val="23"/>
  </w:num>
  <w:num w:numId="50" w16cid:durableId="10839181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2CA"/>
    <w:rsid w:val="00003544"/>
    <w:rsid w:val="000122E3"/>
    <w:rsid w:val="00014B28"/>
    <w:rsid w:val="00025A57"/>
    <w:rsid w:val="000508E7"/>
    <w:rsid w:val="00052154"/>
    <w:rsid w:val="000723A9"/>
    <w:rsid w:val="00080C61"/>
    <w:rsid w:val="00084C3A"/>
    <w:rsid w:val="000A52F4"/>
    <w:rsid w:val="000B0EE4"/>
    <w:rsid w:val="000B137E"/>
    <w:rsid w:val="000C45E8"/>
    <w:rsid w:val="000C7088"/>
    <w:rsid w:val="000D1922"/>
    <w:rsid w:val="00111382"/>
    <w:rsid w:val="00131497"/>
    <w:rsid w:val="001420C1"/>
    <w:rsid w:val="00152AE2"/>
    <w:rsid w:val="001734B0"/>
    <w:rsid w:val="001843DA"/>
    <w:rsid w:val="001A4C88"/>
    <w:rsid w:val="001D1E5A"/>
    <w:rsid w:val="001D3D9C"/>
    <w:rsid w:val="00201EEC"/>
    <w:rsid w:val="0021649E"/>
    <w:rsid w:val="002307D2"/>
    <w:rsid w:val="00294445"/>
    <w:rsid w:val="002C138F"/>
    <w:rsid w:val="002C6CDC"/>
    <w:rsid w:val="00313A32"/>
    <w:rsid w:val="00326C77"/>
    <w:rsid w:val="00342D67"/>
    <w:rsid w:val="00365D77"/>
    <w:rsid w:val="003733C7"/>
    <w:rsid w:val="00387B69"/>
    <w:rsid w:val="00397D4A"/>
    <w:rsid w:val="003D266A"/>
    <w:rsid w:val="003D5ADA"/>
    <w:rsid w:val="003E5E31"/>
    <w:rsid w:val="003F254C"/>
    <w:rsid w:val="003F717E"/>
    <w:rsid w:val="004123FF"/>
    <w:rsid w:val="0042243F"/>
    <w:rsid w:val="00443AC9"/>
    <w:rsid w:val="00476A58"/>
    <w:rsid w:val="0048361F"/>
    <w:rsid w:val="004C3D41"/>
    <w:rsid w:val="004E20A6"/>
    <w:rsid w:val="004E7F8B"/>
    <w:rsid w:val="005055C3"/>
    <w:rsid w:val="00564B8A"/>
    <w:rsid w:val="00585054"/>
    <w:rsid w:val="005944F3"/>
    <w:rsid w:val="005E6A0F"/>
    <w:rsid w:val="00610725"/>
    <w:rsid w:val="00651D00"/>
    <w:rsid w:val="00657380"/>
    <w:rsid w:val="00660091"/>
    <w:rsid w:val="00687848"/>
    <w:rsid w:val="006919F5"/>
    <w:rsid w:val="006A2C4F"/>
    <w:rsid w:val="006A48E7"/>
    <w:rsid w:val="006B10AF"/>
    <w:rsid w:val="006B433F"/>
    <w:rsid w:val="006D320D"/>
    <w:rsid w:val="006D4179"/>
    <w:rsid w:val="006D5204"/>
    <w:rsid w:val="006E3DB9"/>
    <w:rsid w:val="006E79D8"/>
    <w:rsid w:val="006F1D17"/>
    <w:rsid w:val="00734252"/>
    <w:rsid w:val="00753FC8"/>
    <w:rsid w:val="00754C51"/>
    <w:rsid w:val="0076520A"/>
    <w:rsid w:val="007721F5"/>
    <w:rsid w:val="007848BF"/>
    <w:rsid w:val="007906E2"/>
    <w:rsid w:val="007957CF"/>
    <w:rsid w:val="007B65B6"/>
    <w:rsid w:val="007E531A"/>
    <w:rsid w:val="007F0391"/>
    <w:rsid w:val="00806403"/>
    <w:rsid w:val="00810D90"/>
    <w:rsid w:val="0084399A"/>
    <w:rsid w:val="00850003"/>
    <w:rsid w:val="008715A2"/>
    <w:rsid w:val="008752E3"/>
    <w:rsid w:val="00886BF2"/>
    <w:rsid w:val="00895CC6"/>
    <w:rsid w:val="008A4FDE"/>
    <w:rsid w:val="008B7FDD"/>
    <w:rsid w:val="008C73F4"/>
    <w:rsid w:val="008E05DB"/>
    <w:rsid w:val="00917342"/>
    <w:rsid w:val="00937053"/>
    <w:rsid w:val="00963CF7"/>
    <w:rsid w:val="00985E5F"/>
    <w:rsid w:val="009A287C"/>
    <w:rsid w:val="009A7C87"/>
    <w:rsid w:val="009B6B1E"/>
    <w:rsid w:val="009C53EC"/>
    <w:rsid w:val="009C7348"/>
    <w:rsid w:val="009C7ED2"/>
    <w:rsid w:val="009E3514"/>
    <w:rsid w:val="00A41E62"/>
    <w:rsid w:val="00A62DBF"/>
    <w:rsid w:val="00A733C0"/>
    <w:rsid w:val="00AA29DD"/>
    <w:rsid w:val="00AA402F"/>
    <w:rsid w:val="00AD1908"/>
    <w:rsid w:val="00AE0F42"/>
    <w:rsid w:val="00AF34C3"/>
    <w:rsid w:val="00AF52C2"/>
    <w:rsid w:val="00B15BED"/>
    <w:rsid w:val="00B639C2"/>
    <w:rsid w:val="00B65EBF"/>
    <w:rsid w:val="00B908C8"/>
    <w:rsid w:val="00B97FFD"/>
    <w:rsid w:val="00BE20C5"/>
    <w:rsid w:val="00BE73B5"/>
    <w:rsid w:val="00BF078A"/>
    <w:rsid w:val="00C42819"/>
    <w:rsid w:val="00C942CA"/>
    <w:rsid w:val="00C97B28"/>
    <w:rsid w:val="00CD641A"/>
    <w:rsid w:val="00D310BE"/>
    <w:rsid w:val="00D61C2B"/>
    <w:rsid w:val="00D751D3"/>
    <w:rsid w:val="00D76DB1"/>
    <w:rsid w:val="00DC7324"/>
    <w:rsid w:val="00DE0548"/>
    <w:rsid w:val="00E1178F"/>
    <w:rsid w:val="00E15D46"/>
    <w:rsid w:val="00E3186F"/>
    <w:rsid w:val="00E47D1D"/>
    <w:rsid w:val="00E50C5A"/>
    <w:rsid w:val="00E84BF4"/>
    <w:rsid w:val="00E84CBD"/>
    <w:rsid w:val="00E92CFC"/>
    <w:rsid w:val="00EB4158"/>
    <w:rsid w:val="00EB601B"/>
    <w:rsid w:val="00F17562"/>
    <w:rsid w:val="00F35709"/>
    <w:rsid w:val="00F36428"/>
    <w:rsid w:val="00F545BA"/>
    <w:rsid w:val="00F619B4"/>
    <w:rsid w:val="00F725BC"/>
    <w:rsid w:val="00F9755A"/>
    <w:rsid w:val="00FC5821"/>
    <w:rsid w:val="00FD0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226FC"/>
  <w15:docId w15:val="{856AF700-9873-4317-AE44-EF472821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4B0"/>
    <w:rPr>
      <w:sz w:val="24"/>
      <w:szCs w:val="24"/>
      <w:lang w:eastAsia="en-US"/>
    </w:rPr>
  </w:style>
  <w:style w:type="paragraph" w:styleId="Heading1">
    <w:name w:val="heading 1"/>
    <w:basedOn w:val="Normal"/>
    <w:next w:val="Normal"/>
    <w:qFormat/>
    <w:rsid w:val="00BE73B5"/>
    <w:pPr>
      <w:keepNext/>
      <w:spacing w:line="260" w:lineRule="atLeast"/>
      <w:outlineLvl w:val="0"/>
    </w:pPr>
    <w:rPr>
      <w:rFonts w:ascii="Arial Black" w:hAnsi="Arial Black" w:cs="Arial"/>
      <w:bCs/>
      <w:kern w:val="32"/>
      <w:sz w:val="21"/>
      <w:szCs w:val="21"/>
    </w:rPr>
  </w:style>
  <w:style w:type="paragraph" w:styleId="Heading2">
    <w:name w:val="heading 2"/>
    <w:basedOn w:val="Heading1"/>
    <w:next w:val="Normal"/>
    <w:qFormat/>
    <w:rsid w:val="00BE73B5"/>
    <w:pPr>
      <w:outlineLvl w:val="1"/>
    </w:pPr>
    <w:rPr>
      <w:bCs w:val="0"/>
      <w:iCs/>
      <w:sz w:val="19"/>
      <w:szCs w:val="19"/>
    </w:rPr>
  </w:style>
  <w:style w:type="paragraph" w:styleId="Heading3">
    <w:name w:val="heading 3"/>
    <w:basedOn w:val="Heading2"/>
    <w:next w:val="Normal"/>
    <w:qFormat/>
    <w:rsid w:val="00BE73B5"/>
    <w:pPr>
      <w:outlineLvl w:val="2"/>
    </w:pPr>
    <w:rPr>
      <w:rFonts w:ascii="Arial" w:hAnsi="Arial"/>
      <w:b/>
      <w:bCs/>
    </w:rPr>
  </w:style>
  <w:style w:type="paragraph" w:styleId="Heading4">
    <w:name w:val="heading 4"/>
    <w:basedOn w:val="Heading3"/>
    <w:next w:val="Normal"/>
    <w:qFormat/>
    <w:rsid w:val="007E531A"/>
    <w:pPr>
      <w:outlineLvl w:val="3"/>
    </w:pPr>
    <w:rPr>
      <w:b w:val="0"/>
      <w:bCs w:val="0"/>
    </w:rPr>
  </w:style>
  <w:style w:type="paragraph" w:styleId="Heading5">
    <w:name w:val="heading 5"/>
    <w:basedOn w:val="Normal"/>
    <w:next w:val="Normal"/>
    <w:qFormat/>
    <w:rsid w:val="003E5E31"/>
    <w:pPr>
      <w:numPr>
        <w:ilvl w:val="4"/>
        <w:numId w:val="33"/>
      </w:numPr>
      <w:spacing w:before="240" w:after="60"/>
      <w:outlineLvl w:val="4"/>
    </w:pPr>
    <w:rPr>
      <w:b/>
      <w:bCs/>
      <w:i/>
      <w:iCs/>
      <w:sz w:val="26"/>
      <w:szCs w:val="26"/>
    </w:rPr>
  </w:style>
  <w:style w:type="paragraph" w:styleId="Heading6">
    <w:name w:val="heading 6"/>
    <w:basedOn w:val="Normal"/>
    <w:next w:val="Normal"/>
    <w:qFormat/>
    <w:rsid w:val="003E5E31"/>
    <w:pPr>
      <w:numPr>
        <w:ilvl w:val="5"/>
        <w:numId w:val="33"/>
      </w:numPr>
      <w:spacing w:before="240" w:after="60"/>
      <w:outlineLvl w:val="5"/>
    </w:pPr>
    <w:rPr>
      <w:b/>
      <w:bCs/>
      <w:szCs w:val="22"/>
    </w:rPr>
  </w:style>
  <w:style w:type="paragraph" w:styleId="Heading7">
    <w:name w:val="heading 7"/>
    <w:basedOn w:val="Normal"/>
    <w:next w:val="Normal"/>
    <w:qFormat/>
    <w:rsid w:val="003E5E31"/>
    <w:pPr>
      <w:numPr>
        <w:ilvl w:val="6"/>
        <w:numId w:val="33"/>
      </w:numPr>
      <w:spacing w:before="240" w:after="60"/>
      <w:outlineLvl w:val="6"/>
    </w:pPr>
  </w:style>
  <w:style w:type="paragraph" w:styleId="Heading8">
    <w:name w:val="heading 8"/>
    <w:basedOn w:val="Normal"/>
    <w:next w:val="Normal"/>
    <w:qFormat/>
    <w:rsid w:val="003E5E31"/>
    <w:pPr>
      <w:numPr>
        <w:ilvl w:val="7"/>
        <w:numId w:val="33"/>
      </w:numPr>
      <w:spacing w:before="240" w:after="60"/>
      <w:outlineLvl w:val="7"/>
    </w:pPr>
    <w:rPr>
      <w:i/>
      <w:iCs/>
    </w:rPr>
  </w:style>
  <w:style w:type="paragraph" w:styleId="Heading9">
    <w:name w:val="heading 9"/>
    <w:basedOn w:val="Normal"/>
    <w:next w:val="Normal"/>
    <w:qFormat/>
    <w:rsid w:val="003E5E31"/>
    <w:pPr>
      <w:numPr>
        <w:ilvl w:val="8"/>
        <w:numId w:val="3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E84CBD"/>
    <w:pPr>
      <w:numPr>
        <w:numId w:val="10"/>
      </w:numPr>
      <w:jc w:val="right"/>
    </w:pPr>
    <w:rPr>
      <w:rFonts w:ascii="Arial" w:hAnsi="Arial"/>
      <w:b/>
      <w:color w:val="808080"/>
      <w:sz w:val="16"/>
    </w:rPr>
  </w:style>
  <w:style w:type="paragraph" w:styleId="Footer">
    <w:name w:val="footer"/>
    <w:basedOn w:val="Normal"/>
    <w:rsid w:val="00E84CBD"/>
    <w:pPr>
      <w:tabs>
        <w:tab w:val="center" w:pos="4153"/>
        <w:tab w:val="right" w:pos="8306"/>
      </w:tabs>
    </w:pPr>
    <w:rPr>
      <w:rFonts w:ascii="Arial" w:hAnsi="Arial"/>
      <w:b/>
      <w:color w:val="808080"/>
      <w:sz w:val="16"/>
    </w:rPr>
  </w:style>
  <w:style w:type="paragraph" w:styleId="Header">
    <w:name w:val="header"/>
    <w:basedOn w:val="Normal"/>
    <w:rsid w:val="00E84CBD"/>
    <w:pPr>
      <w:tabs>
        <w:tab w:val="center" w:pos="4150"/>
        <w:tab w:val="right" w:pos="8307"/>
      </w:tabs>
    </w:pPr>
    <w:rPr>
      <w:rFonts w:ascii="Arial" w:hAnsi="Arial"/>
      <w:b/>
      <w:color w:val="808080"/>
      <w:sz w:val="16"/>
    </w:rPr>
  </w:style>
  <w:style w:type="paragraph" w:customStyle="1" w:styleId="NumHead">
    <w:name w:val="NumHead"/>
    <w:basedOn w:val="Normal"/>
    <w:next w:val="NumText"/>
    <w:rsid w:val="008A4FDE"/>
    <w:pPr>
      <w:keepNext/>
      <w:numPr>
        <w:numId w:val="24"/>
      </w:numPr>
      <w:spacing w:line="260" w:lineRule="atLeast"/>
    </w:pPr>
    <w:rPr>
      <w:rFonts w:ascii="Arial Black" w:hAnsi="Arial Black"/>
      <w:sz w:val="21"/>
      <w:szCs w:val="21"/>
    </w:rPr>
  </w:style>
  <w:style w:type="paragraph" w:customStyle="1" w:styleId="NumText">
    <w:name w:val="NumText"/>
    <w:basedOn w:val="Normal"/>
    <w:rsid w:val="00E84CBD"/>
    <w:pPr>
      <w:numPr>
        <w:ilvl w:val="1"/>
        <w:numId w:val="24"/>
      </w:numPr>
      <w:spacing w:line="280" w:lineRule="exact"/>
    </w:pPr>
  </w:style>
  <w:style w:type="paragraph" w:customStyle="1" w:styleId="TableHeading">
    <w:name w:val="Table Heading"/>
    <w:basedOn w:val="TableText"/>
    <w:rsid w:val="00F35709"/>
    <w:rPr>
      <w:b/>
      <w:bCs/>
      <w:kern w:val="28"/>
      <w:szCs w:val="24"/>
    </w:rPr>
  </w:style>
  <w:style w:type="paragraph" w:customStyle="1" w:styleId="TableText">
    <w:name w:val="Table Text"/>
    <w:basedOn w:val="Normal"/>
    <w:rsid w:val="00F35709"/>
    <w:pPr>
      <w:ind w:right="142"/>
    </w:pPr>
    <w:rPr>
      <w:szCs w:val="22"/>
    </w:rPr>
  </w:style>
  <w:style w:type="paragraph" w:customStyle="1" w:styleId="TableSubTot">
    <w:name w:val="Table SubTot"/>
    <w:basedOn w:val="TableFigures"/>
    <w:rsid w:val="00AD1908"/>
    <w:pPr>
      <w:pBdr>
        <w:top w:val="single" w:sz="6" w:space="1" w:color="auto"/>
      </w:pBdr>
    </w:pPr>
    <w:rPr>
      <w:szCs w:val="24"/>
    </w:rPr>
  </w:style>
  <w:style w:type="paragraph" w:customStyle="1" w:styleId="TableTotal">
    <w:name w:val="Table Total"/>
    <w:basedOn w:val="TableFigures"/>
    <w:rsid w:val="00AD1908"/>
    <w:pPr>
      <w:pBdr>
        <w:top w:val="single" w:sz="6" w:space="1" w:color="auto"/>
        <w:bottom w:val="double" w:sz="6" w:space="1" w:color="auto"/>
      </w:pBdr>
    </w:pPr>
  </w:style>
  <w:style w:type="paragraph" w:styleId="Title">
    <w:name w:val="Title"/>
    <w:basedOn w:val="Normal"/>
    <w:next w:val="Heading1"/>
    <w:qFormat/>
    <w:rsid w:val="00E84CBD"/>
    <w:pPr>
      <w:spacing w:before="400" w:after="400" w:line="580" w:lineRule="atLeast"/>
    </w:pPr>
    <w:rPr>
      <w:rFonts w:cs="Arial"/>
      <w:bCs/>
      <w:kern w:val="28"/>
      <w:sz w:val="40"/>
      <w:szCs w:val="32"/>
    </w:rPr>
  </w:style>
  <w:style w:type="paragraph" w:customStyle="1" w:styleId="TableDouble">
    <w:name w:val="Table Double"/>
    <w:basedOn w:val="TableFigures"/>
    <w:rsid w:val="00E84CBD"/>
    <w:pPr>
      <w:pBdr>
        <w:bottom w:val="double" w:sz="6" w:space="1" w:color="auto"/>
      </w:pBdr>
    </w:pPr>
    <w:rPr>
      <w:sz w:val="16"/>
      <w:szCs w:val="24"/>
    </w:rPr>
  </w:style>
  <w:style w:type="paragraph" w:customStyle="1" w:styleId="TableSingle">
    <w:name w:val="Table Single"/>
    <w:basedOn w:val="TableFigures"/>
    <w:rsid w:val="00AD1908"/>
    <w:pPr>
      <w:pBdr>
        <w:bottom w:val="single" w:sz="6" w:space="1" w:color="auto"/>
      </w:pBdr>
    </w:pPr>
    <w:rPr>
      <w:szCs w:val="24"/>
    </w:rPr>
  </w:style>
  <w:style w:type="paragraph" w:customStyle="1" w:styleId="TableBullet">
    <w:name w:val="Table Bullet"/>
    <w:basedOn w:val="TableText"/>
    <w:rsid w:val="00F35709"/>
    <w:pPr>
      <w:numPr>
        <w:numId w:val="19"/>
      </w:numPr>
    </w:pPr>
    <w:rPr>
      <w:szCs w:val="20"/>
    </w:rPr>
  </w:style>
  <w:style w:type="paragraph" w:customStyle="1" w:styleId="TableNumberBullet">
    <w:name w:val="Table Number Bullet"/>
    <w:basedOn w:val="TableText"/>
    <w:rsid w:val="00F35709"/>
    <w:pPr>
      <w:numPr>
        <w:numId w:val="20"/>
      </w:numPr>
    </w:pPr>
    <w:rPr>
      <w:szCs w:val="24"/>
    </w:rPr>
  </w:style>
  <w:style w:type="paragraph" w:styleId="TOC1">
    <w:name w:val="toc 1"/>
    <w:basedOn w:val="Normal"/>
    <w:next w:val="Normal"/>
    <w:semiHidden/>
    <w:rsid w:val="00E84CBD"/>
    <w:pPr>
      <w:spacing w:before="240" w:after="120"/>
    </w:pPr>
    <w:rPr>
      <w:b/>
      <w:bCs/>
    </w:rPr>
  </w:style>
  <w:style w:type="paragraph" w:customStyle="1" w:styleId="AppendixTitle">
    <w:name w:val="Appendix Title"/>
    <w:basedOn w:val="Title"/>
    <w:next w:val="Normal"/>
    <w:rsid w:val="00E84CBD"/>
    <w:pPr>
      <w:numPr>
        <w:numId w:val="11"/>
      </w:numPr>
    </w:pPr>
  </w:style>
  <w:style w:type="paragraph" w:customStyle="1" w:styleId="SectionTitle">
    <w:name w:val="Section Title"/>
    <w:basedOn w:val="Normal"/>
    <w:next w:val="Normal"/>
    <w:rsid w:val="00E84CBD"/>
    <w:pPr>
      <w:pageBreakBefore/>
      <w:spacing w:after="1400"/>
    </w:pPr>
    <w:rPr>
      <w:sz w:val="40"/>
    </w:rPr>
  </w:style>
  <w:style w:type="paragraph" w:customStyle="1" w:styleId="TableFigures">
    <w:name w:val="Table Figures"/>
    <w:basedOn w:val="TableText"/>
    <w:rsid w:val="00AD1908"/>
    <w:pPr>
      <w:spacing w:before="25"/>
    </w:pPr>
    <w:rPr>
      <w:rFonts w:ascii="Arial" w:hAnsi="Arial"/>
      <w:sz w:val="18"/>
    </w:rPr>
  </w:style>
  <w:style w:type="paragraph" w:customStyle="1" w:styleId="BulletOne">
    <w:name w:val="BulletOne"/>
    <w:basedOn w:val="Normal"/>
    <w:rsid w:val="00F9755A"/>
    <w:pPr>
      <w:numPr>
        <w:numId w:val="28"/>
      </w:numPr>
    </w:pPr>
  </w:style>
  <w:style w:type="paragraph" w:customStyle="1" w:styleId="BulletThree">
    <w:name w:val="BulletThree"/>
    <w:basedOn w:val="Normal"/>
    <w:rsid w:val="00F9755A"/>
    <w:pPr>
      <w:numPr>
        <w:numId w:val="29"/>
      </w:numPr>
    </w:pPr>
  </w:style>
  <w:style w:type="paragraph" w:customStyle="1" w:styleId="BulletTwo">
    <w:name w:val="BulletTwo"/>
    <w:basedOn w:val="Normal"/>
    <w:rsid w:val="00F9755A"/>
    <w:pPr>
      <w:numPr>
        <w:numId w:val="30"/>
      </w:numPr>
    </w:pPr>
  </w:style>
  <w:style w:type="paragraph" w:customStyle="1" w:styleId="Indent1">
    <w:name w:val="Indent1"/>
    <w:basedOn w:val="Normal"/>
    <w:rsid w:val="00A733C0"/>
    <w:pPr>
      <w:tabs>
        <w:tab w:val="left" w:pos="567"/>
      </w:tabs>
      <w:ind w:left="567" w:hanging="567"/>
    </w:pPr>
  </w:style>
  <w:style w:type="paragraph" w:customStyle="1" w:styleId="Indent2">
    <w:name w:val="Indent2"/>
    <w:basedOn w:val="Normal"/>
    <w:rsid w:val="00A733C0"/>
    <w:pPr>
      <w:tabs>
        <w:tab w:val="left" w:pos="1134"/>
      </w:tabs>
      <w:ind w:left="1134" w:hanging="567"/>
    </w:pPr>
  </w:style>
  <w:style w:type="paragraph" w:customStyle="1" w:styleId="NumBulletOne">
    <w:name w:val="NumBulletOne"/>
    <w:basedOn w:val="Normal"/>
    <w:rsid w:val="003E5E31"/>
    <w:pPr>
      <w:numPr>
        <w:numId w:val="33"/>
      </w:numPr>
    </w:pPr>
  </w:style>
  <w:style w:type="paragraph" w:customStyle="1" w:styleId="NumBulletThree">
    <w:name w:val="NumBulletThree"/>
    <w:basedOn w:val="Normal"/>
    <w:rsid w:val="003E5E31"/>
    <w:pPr>
      <w:numPr>
        <w:ilvl w:val="2"/>
        <w:numId w:val="33"/>
      </w:numPr>
    </w:pPr>
  </w:style>
  <w:style w:type="paragraph" w:customStyle="1" w:styleId="NumBulletTwo">
    <w:name w:val="NumBulletTwo"/>
    <w:basedOn w:val="Normal"/>
    <w:rsid w:val="003E5E31"/>
    <w:pPr>
      <w:numPr>
        <w:ilvl w:val="1"/>
        <w:numId w:val="33"/>
      </w:numPr>
    </w:pPr>
  </w:style>
  <w:style w:type="paragraph" w:styleId="BodyText2">
    <w:name w:val="Body Text 2"/>
    <w:basedOn w:val="Normal"/>
    <w:link w:val="BodyText2Char"/>
    <w:rsid w:val="007906E2"/>
    <w:rPr>
      <w:rFonts w:ascii="Arial" w:hAnsi="Arial" w:cs="Arial"/>
      <w:sz w:val="16"/>
      <w:lang w:eastAsia="en-GB"/>
    </w:rPr>
  </w:style>
  <w:style w:type="character" w:customStyle="1" w:styleId="BodyText2Char">
    <w:name w:val="Body Text 2 Char"/>
    <w:basedOn w:val="DefaultParagraphFont"/>
    <w:link w:val="BodyText2"/>
    <w:rsid w:val="007906E2"/>
    <w:rPr>
      <w:rFonts w:ascii="Arial" w:hAnsi="Arial" w:cs="Arial"/>
      <w:sz w:val="16"/>
      <w:szCs w:val="24"/>
    </w:rPr>
  </w:style>
  <w:style w:type="character" w:styleId="Hyperlink">
    <w:name w:val="Hyperlink"/>
    <w:basedOn w:val="DefaultParagraphFont"/>
    <w:rsid w:val="007906E2"/>
    <w:rPr>
      <w:color w:val="0000FF" w:themeColor="hyperlink"/>
      <w:u w:val="single"/>
    </w:rPr>
  </w:style>
  <w:style w:type="paragraph" w:styleId="ListParagraph">
    <w:name w:val="List Paragraph"/>
    <w:basedOn w:val="Normal"/>
    <w:uiPriority w:val="34"/>
    <w:qFormat/>
    <w:rsid w:val="00E1178F"/>
    <w:pPr>
      <w:ind w:left="720"/>
      <w:contextualSpacing/>
    </w:pPr>
  </w:style>
  <w:style w:type="paragraph" w:styleId="BalloonText">
    <w:name w:val="Balloon Text"/>
    <w:basedOn w:val="Normal"/>
    <w:link w:val="BalloonTextChar"/>
    <w:semiHidden/>
    <w:unhideWhenUsed/>
    <w:rsid w:val="007721F5"/>
    <w:rPr>
      <w:rFonts w:ascii="Segoe UI" w:hAnsi="Segoe UI" w:cs="Segoe UI"/>
      <w:sz w:val="18"/>
      <w:szCs w:val="18"/>
    </w:rPr>
  </w:style>
  <w:style w:type="character" w:customStyle="1" w:styleId="BalloonTextChar">
    <w:name w:val="Balloon Text Char"/>
    <w:basedOn w:val="DefaultParagraphFont"/>
    <w:link w:val="BalloonText"/>
    <w:semiHidden/>
    <w:rsid w:val="007721F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gtukwordtemplates\GTUK2008\GT%20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05219-D676-4C75-87CA-A280C11D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 Normal.dotm</Template>
  <TotalTime>46</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Grant Thornton UK LLP</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Grundy</dc:creator>
  <cp:lastModifiedBy>David Grundy</cp:lastModifiedBy>
  <cp:revision>17</cp:revision>
  <cp:lastPrinted>2014-07-07T09:10:00Z</cp:lastPrinted>
  <dcterms:created xsi:type="dcterms:W3CDTF">2015-09-15T13:02:00Z</dcterms:created>
  <dcterms:modified xsi:type="dcterms:W3CDTF">2023-10-26T11:02:00Z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 Templates Version">
    <vt:lpwstr>GT Normal R3.2 2003 22/12/08</vt:lpwstr>
  </property>
  <property fmtid="{D5CDD505-2E9C-101B-9397-08002B2CF9AE}" pid="3" name="GT Version">
    <vt:r8>3.3</vt:r8>
  </property>
  <property fmtid="{D5CDD505-2E9C-101B-9397-08002B2CF9AE}" pid="4" name="GT Date">
    <vt:filetime>2009-09-23T23:00:00Z</vt:filetime>
  </property>
</Properties>
</file>