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F9A9" w14:textId="77777777" w:rsidR="00211CFE" w:rsidRDefault="00EF739A">
      <w:pPr>
        <w:spacing w:after="0" w:line="259" w:lineRule="auto"/>
        <w:ind w:left="0" w:right="94" w:firstLine="0"/>
        <w:jc w:val="center"/>
      </w:pPr>
      <w:r>
        <w:rPr>
          <w:sz w:val="36"/>
        </w:rPr>
        <w:t>AKIN ADAMSON</w:t>
      </w:r>
      <w:r>
        <w:rPr>
          <w:sz w:val="18"/>
        </w:rPr>
        <w:t xml:space="preserve"> </w:t>
      </w:r>
    </w:p>
    <w:p w14:paraId="4BD68FF3" w14:textId="77777777" w:rsidR="00211CFE" w:rsidRDefault="00EF739A">
      <w:pPr>
        <w:spacing w:after="0" w:line="259" w:lineRule="auto"/>
        <w:ind w:left="53" w:right="107"/>
        <w:jc w:val="center"/>
      </w:pPr>
      <w:r>
        <w:t xml:space="preserve">Tel: +971 50 339 4517 (Dubai, UAE);   +44 7717 684 035 (London, UK); </w:t>
      </w:r>
    </w:p>
    <w:p w14:paraId="015D4907" w14:textId="77777777" w:rsidR="00211CFE" w:rsidRDefault="00EF739A">
      <w:pPr>
        <w:spacing w:after="54" w:line="259" w:lineRule="auto"/>
        <w:ind w:left="0" w:right="65" w:firstLine="0"/>
        <w:jc w:val="center"/>
      </w:pPr>
      <w:r>
        <w:t xml:space="preserve">Email: </w:t>
      </w:r>
      <w:r>
        <w:rPr>
          <w:color w:val="0563C1"/>
          <w:u w:val="single" w:color="0563C1"/>
        </w:rPr>
        <w:t>akin.adamson@gmail.com</w:t>
      </w:r>
      <w:r>
        <w:t xml:space="preserve">;     LinkedIn: </w:t>
      </w:r>
      <w:r>
        <w:rPr>
          <w:color w:val="0070C0"/>
          <w:u w:val="single" w:color="0070C0"/>
        </w:rPr>
        <w:t>www.linkedin.com/in/akin-adamson/</w:t>
      </w:r>
      <w:r>
        <w:t xml:space="preserve"> </w:t>
      </w:r>
    </w:p>
    <w:p w14:paraId="72C74CA9" w14:textId="314F2710" w:rsidR="00211CFE" w:rsidRDefault="008541FE" w:rsidP="008541FE">
      <w:pPr>
        <w:spacing w:after="0" w:line="259" w:lineRule="auto"/>
        <w:ind w:left="0" w:right="205" w:firstLine="0"/>
        <w:jc w:val="both"/>
      </w:pP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>
        <w:rPr>
          <w:sz w:val="28"/>
          <w:u w:val="single" w:color="000000"/>
        </w:rPr>
        <w:tab/>
      </w:r>
      <w:r w:rsidR="00EF739A">
        <w:rPr>
          <w:sz w:val="28"/>
          <w:u w:val="single" w:color="000000"/>
        </w:rPr>
        <w:t xml:space="preserve"> </w:t>
      </w:r>
      <w:r w:rsidR="00EF739A">
        <w:rPr>
          <w:sz w:val="28"/>
          <w:u w:val="single" w:color="000000"/>
        </w:rPr>
        <w:tab/>
        <w:t xml:space="preserve"> </w:t>
      </w:r>
      <w:r w:rsidR="00EF739A">
        <w:rPr>
          <w:sz w:val="28"/>
          <w:u w:val="single" w:color="000000"/>
        </w:rPr>
        <w:tab/>
        <w:t xml:space="preserve"> </w:t>
      </w:r>
      <w:r w:rsidR="00EF739A">
        <w:rPr>
          <w:sz w:val="28"/>
          <w:u w:val="single" w:color="000000"/>
        </w:rPr>
        <w:tab/>
      </w:r>
      <w:r w:rsidR="00EF739A">
        <w:rPr>
          <w:sz w:val="28"/>
        </w:rPr>
        <w:t xml:space="preserve"> </w:t>
      </w:r>
    </w:p>
    <w:p w14:paraId="62D4D54C" w14:textId="77777777" w:rsidR="00211CFE" w:rsidRDefault="00EF739A" w:rsidP="008541FE">
      <w:pPr>
        <w:pStyle w:val="Heading1"/>
        <w:tabs>
          <w:tab w:val="center" w:pos="3404"/>
          <w:tab w:val="center" w:pos="9357"/>
        </w:tabs>
        <w:ind w:left="-15" w:right="205" w:firstLine="0"/>
      </w:pPr>
      <w:r>
        <w:t xml:space="preserve">EXECUTIVE SUMMARY </w:t>
      </w:r>
      <w:r>
        <w:tab/>
        <w:t xml:space="preserve"> </w:t>
      </w:r>
      <w:r>
        <w:tab/>
        <w:t xml:space="preserve"> </w:t>
      </w:r>
    </w:p>
    <w:p w14:paraId="1A07AB30" w14:textId="77777777" w:rsidR="00211CFE" w:rsidRPr="008541FE" w:rsidRDefault="00EF739A" w:rsidP="008541FE">
      <w:pPr>
        <w:spacing w:after="0" w:line="259" w:lineRule="auto"/>
        <w:ind w:left="567" w:right="205" w:firstLine="0"/>
        <w:rPr>
          <w:sz w:val="12"/>
          <w:szCs w:val="12"/>
        </w:rPr>
      </w:pPr>
      <w:r w:rsidRPr="008541FE">
        <w:rPr>
          <w:sz w:val="12"/>
          <w:szCs w:val="12"/>
        </w:rPr>
        <w:t xml:space="preserve"> </w:t>
      </w:r>
    </w:p>
    <w:p w14:paraId="333F1D77" w14:textId="722D818B" w:rsidR="00211CFE" w:rsidRDefault="00EF739A" w:rsidP="008541FE">
      <w:pPr>
        <w:ind w:right="205"/>
      </w:pPr>
      <w:r>
        <w:t xml:space="preserve">Akin is an experienced </w:t>
      </w:r>
      <w:r w:rsidR="00BE67A4">
        <w:t>executive</w:t>
      </w:r>
      <w:r>
        <w:t xml:space="preserve"> with a 2</w:t>
      </w:r>
      <w:r w:rsidR="00BE67A4">
        <w:t>5</w:t>
      </w:r>
      <w:r>
        <w:t xml:space="preserve">+ year successful track record of building international businesses. </w:t>
      </w:r>
      <w:r w:rsidR="007C32F4">
        <w:t xml:space="preserve">He has broad sectoral experience covering </w:t>
      </w:r>
      <w:r w:rsidR="005501F0">
        <w:t>Transport,</w:t>
      </w:r>
      <w:r w:rsidR="00C82037">
        <w:t xml:space="preserve"> Environment, </w:t>
      </w:r>
      <w:r w:rsidR="005501F0">
        <w:t>Energy</w:t>
      </w:r>
      <w:r w:rsidR="00C82037">
        <w:t xml:space="preserve">, ICT and </w:t>
      </w:r>
      <w:r w:rsidR="003C6DBF">
        <w:t>Tel</w:t>
      </w:r>
      <w:r w:rsidR="00A10C54">
        <w:t>e</w:t>
      </w:r>
      <w:r w:rsidR="003C6DBF">
        <w:t>co</w:t>
      </w:r>
      <w:r w:rsidR="00A10C54">
        <w:t>mmu</w:t>
      </w:r>
      <w:r w:rsidR="00231902">
        <w:t>nications</w:t>
      </w:r>
      <w:r>
        <w:t xml:space="preserve">. He combines a strategy background with business development and operational management skills. </w:t>
      </w:r>
      <w:r w:rsidR="00FE4F35">
        <w:t>His</w:t>
      </w:r>
      <w:r w:rsidR="00C25305">
        <w:t xml:space="preserve"> international experience </w:t>
      </w:r>
      <w:r w:rsidR="00FE4F35">
        <w:t xml:space="preserve">stems from </w:t>
      </w:r>
      <w:r w:rsidR="00C25305">
        <w:t xml:space="preserve">having lived and worked in the UK, Australia, the </w:t>
      </w:r>
      <w:r>
        <w:t xml:space="preserve">Middle East </w:t>
      </w:r>
      <w:r w:rsidR="00C25305">
        <w:t>and the US</w:t>
      </w:r>
      <w:r>
        <w:t xml:space="preserve">, developing a strong network of relationships and partnerships. </w:t>
      </w:r>
    </w:p>
    <w:p w14:paraId="175A2D95" w14:textId="34466F06" w:rsidR="00211CFE" w:rsidRDefault="00EF739A" w:rsidP="008541FE">
      <w:pPr>
        <w:spacing w:after="35" w:line="259" w:lineRule="auto"/>
        <w:ind w:left="0" w:right="205" w:firstLine="0"/>
      </w:pPr>
      <w:bookmarkStart w:id="0" w:name="_Hlk74723827"/>
      <w:r>
        <w:rPr>
          <w:u w:val="single" w:color="000000"/>
        </w:rPr>
        <w:t xml:space="preserve"> </w:t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 w:rsidR="008541FE"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bookmarkEnd w:id="0"/>
    <w:p w14:paraId="79936E50" w14:textId="77777777" w:rsidR="00211CFE" w:rsidRDefault="00EF739A" w:rsidP="008541FE">
      <w:pPr>
        <w:pStyle w:val="Heading1"/>
        <w:ind w:left="-5" w:right="205"/>
      </w:pPr>
      <w:r>
        <w:t xml:space="preserve">KEY SKILLS </w:t>
      </w:r>
    </w:p>
    <w:p w14:paraId="27FBF451" w14:textId="77777777" w:rsidR="00211CFE" w:rsidRPr="008541FE" w:rsidRDefault="00EF739A" w:rsidP="008541FE">
      <w:pPr>
        <w:spacing w:after="24" w:line="259" w:lineRule="auto"/>
        <w:ind w:left="0" w:right="205" w:firstLine="0"/>
        <w:rPr>
          <w:sz w:val="12"/>
          <w:szCs w:val="12"/>
        </w:rPr>
      </w:pPr>
      <w:r w:rsidRPr="008541FE">
        <w:rPr>
          <w:sz w:val="12"/>
          <w:szCs w:val="12"/>
        </w:rPr>
        <w:t xml:space="preserve"> </w:t>
      </w:r>
    </w:p>
    <w:p w14:paraId="07D887A5" w14:textId="51EED22A" w:rsidR="00211CFE" w:rsidRDefault="00EF739A" w:rsidP="008541FE">
      <w:pPr>
        <w:numPr>
          <w:ilvl w:val="0"/>
          <w:numId w:val="1"/>
        </w:numPr>
        <w:spacing w:after="0" w:line="247" w:lineRule="auto"/>
        <w:ind w:right="204" w:hanging="284"/>
      </w:pPr>
      <w:r>
        <w:t xml:space="preserve">Growth strategy formulation and implementation </w:t>
      </w:r>
      <w:r w:rsidR="008541FE"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Business development and client relationships </w:t>
      </w:r>
    </w:p>
    <w:p w14:paraId="18D86B9B" w14:textId="2DFD2A38" w:rsidR="00211CFE" w:rsidRDefault="00903426" w:rsidP="008541FE">
      <w:pPr>
        <w:numPr>
          <w:ilvl w:val="0"/>
          <w:numId w:val="1"/>
        </w:numPr>
        <w:spacing w:after="0" w:line="247" w:lineRule="auto"/>
        <w:ind w:right="204" w:hanging="284"/>
      </w:pPr>
      <w:r>
        <w:t xml:space="preserve">Operational management and delivering </w:t>
      </w:r>
      <w:r w:rsidR="00091A1D">
        <w:t>results</w:t>
      </w:r>
      <w:r w:rsidR="008541FE">
        <w:tab/>
      </w:r>
      <w:r w:rsidR="00EF739A">
        <w:rPr>
          <w:rFonts w:ascii="Segoe UI Symbol" w:eastAsia="Segoe UI Symbol" w:hAnsi="Segoe UI Symbol" w:cs="Segoe UI Symbol"/>
        </w:rPr>
        <w:t>•</w:t>
      </w:r>
      <w:r w:rsidR="00EF739A">
        <w:rPr>
          <w:rFonts w:ascii="Arial" w:eastAsia="Arial" w:hAnsi="Arial" w:cs="Arial"/>
        </w:rPr>
        <w:t xml:space="preserve"> </w:t>
      </w:r>
      <w:r w:rsidR="00091A1D">
        <w:t>Building successful</w:t>
      </w:r>
      <w:r w:rsidR="00EF739A">
        <w:t xml:space="preserve"> partnerships </w:t>
      </w:r>
      <w:r w:rsidR="00091A1D">
        <w:t>and alliances</w:t>
      </w:r>
    </w:p>
    <w:p w14:paraId="41A4E8A8" w14:textId="1E058AB9" w:rsidR="00211CFE" w:rsidRDefault="00EF739A" w:rsidP="008541FE">
      <w:pPr>
        <w:numPr>
          <w:ilvl w:val="0"/>
          <w:numId w:val="1"/>
        </w:numPr>
        <w:spacing w:after="0" w:line="247" w:lineRule="auto"/>
        <w:ind w:right="204" w:hanging="284"/>
      </w:pPr>
      <w:r>
        <w:t xml:space="preserve">Financial management - revenue and profit </w:t>
      </w:r>
      <w:r w:rsidR="008541FE">
        <w:tab/>
      </w:r>
      <w: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 w:rsidR="007C32F4" w:rsidRPr="007C32F4">
        <w:t xml:space="preserve">Team building, </w:t>
      </w:r>
      <w:r w:rsidR="007C32F4">
        <w:t>coaching</w:t>
      </w:r>
      <w:r w:rsidR="007C32F4" w:rsidRPr="007C32F4">
        <w:t xml:space="preserve"> and leadership skills</w:t>
      </w:r>
    </w:p>
    <w:p w14:paraId="00B29B05" w14:textId="14E21A97" w:rsidR="00211CFE" w:rsidRDefault="008541FE" w:rsidP="008541FE">
      <w:pPr>
        <w:spacing w:after="55" w:line="259" w:lineRule="auto"/>
        <w:ind w:left="0" w:right="205" w:firstLine="0"/>
      </w:pP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 w:rsidR="00EF739A">
        <w:rPr>
          <w:u w:val="single" w:color="000000"/>
        </w:rPr>
        <w:tab/>
        <w:t xml:space="preserve">  </w:t>
      </w:r>
      <w:r w:rsidR="00EF739A">
        <w:rPr>
          <w:u w:val="single" w:color="000000"/>
        </w:rPr>
        <w:tab/>
      </w:r>
      <w:r w:rsidR="00EF739A">
        <w:t xml:space="preserve"> </w:t>
      </w:r>
    </w:p>
    <w:p w14:paraId="5EF1CF07" w14:textId="63B0C3C1" w:rsidR="00211CFE" w:rsidRDefault="007C32F4" w:rsidP="008541FE">
      <w:pPr>
        <w:pStyle w:val="Heading1"/>
        <w:tabs>
          <w:tab w:val="center" w:pos="3404"/>
          <w:tab w:val="center" w:pos="9357"/>
        </w:tabs>
        <w:ind w:left="-15" w:right="205" w:firstLine="0"/>
      </w:pPr>
      <w:r>
        <w:t>LEADERSHIP ROLES</w:t>
      </w:r>
      <w:r w:rsidR="00EF739A">
        <w:t xml:space="preserve"> </w:t>
      </w:r>
      <w:r w:rsidR="00EF739A">
        <w:tab/>
        <w:t xml:space="preserve"> </w:t>
      </w:r>
      <w:r w:rsidR="00EF739A">
        <w:tab/>
      </w:r>
      <w:r w:rsidR="00EF739A">
        <w:rPr>
          <w:sz w:val="22"/>
        </w:rPr>
        <w:t xml:space="preserve"> </w:t>
      </w:r>
    </w:p>
    <w:p w14:paraId="7DA032EE" w14:textId="77777777" w:rsidR="00211CFE" w:rsidRPr="008541FE" w:rsidRDefault="00EF739A" w:rsidP="008541FE">
      <w:pPr>
        <w:spacing w:after="0" w:line="259" w:lineRule="auto"/>
        <w:ind w:left="0" w:right="205" w:firstLine="0"/>
        <w:rPr>
          <w:sz w:val="12"/>
          <w:szCs w:val="12"/>
        </w:rPr>
      </w:pPr>
      <w:r>
        <w:rPr>
          <w:b/>
          <w:sz w:val="24"/>
        </w:rPr>
        <w:t xml:space="preserve"> </w:t>
      </w:r>
    </w:p>
    <w:p w14:paraId="05CED5A4" w14:textId="40A74694" w:rsidR="00211CFE" w:rsidRDefault="00EF739A" w:rsidP="008D14E5">
      <w:pPr>
        <w:pStyle w:val="Heading2"/>
        <w:tabs>
          <w:tab w:val="left" w:pos="1701"/>
          <w:tab w:val="center" w:pos="4761"/>
          <w:tab w:val="right" w:pos="9704"/>
        </w:tabs>
        <w:ind w:left="-15" w:right="205" w:firstLine="0"/>
      </w:pPr>
      <w:r>
        <w:t>2018 – Present</w:t>
      </w:r>
      <w:r>
        <w:rPr>
          <w:b w:val="0"/>
        </w:rPr>
        <w:t xml:space="preserve"> </w:t>
      </w:r>
      <w:r w:rsidR="008D14E5">
        <w:rPr>
          <w:b w:val="0"/>
        </w:rPr>
        <w:tab/>
      </w:r>
      <w:r>
        <w:t>Ricardo E</w:t>
      </w:r>
      <w:r w:rsidR="00636CFC">
        <w:t xml:space="preserve">nergy </w:t>
      </w:r>
      <w:r>
        <w:t>&amp;</w:t>
      </w:r>
      <w:r w:rsidR="00636CFC">
        <w:t xml:space="preserve"> </w:t>
      </w:r>
      <w:r>
        <w:t>E</w:t>
      </w:r>
      <w:r w:rsidR="00636CFC">
        <w:t>nvironment</w:t>
      </w:r>
      <w:r w:rsidR="008D14E5">
        <w:t xml:space="preserve">, </w:t>
      </w:r>
      <w:r>
        <w:t xml:space="preserve">Regional Director    </w:t>
      </w:r>
      <w:r>
        <w:rPr>
          <w:b w:val="0"/>
        </w:rPr>
        <w:t xml:space="preserve"> </w:t>
      </w:r>
      <w:r>
        <w:rPr>
          <w:b w:val="0"/>
        </w:rPr>
        <w:tab/>
      </w:r>
      <w:r>
        <w:t>Middle East</w:t>
      </w:r>
      <w:r>
        <w:rPr>
          <w:b w:val="0"/>
        </w:rPr>
        <w:t xml:space="preserve"> </w:t>
      </w:r>
    </w:p>
    <w:p w14:paraId="6AE6ADBF" w14:textId="77777777" w:rsidR="00211CFE" w:rsidRDefault="00EF739A" w:rsidP="008541FE">
      <w:pPr>
        <w:numPr>
          <w:ilvl w:val="0"/>
          <w:numId w:val="2"/>
        </w:numPr>
        <w:ind w:left="838" w:right="205" w:hanging="286"/>
      </w:pPr>
      <w:r>
        <w:t xml:space="preserve">Leads Ricardo Energy &amp; Environment’s ME business – with offices in the UAE, KSA and Qatar </w:t>
      </w:r>
    </w:p>
    <w:p w14:paraId="2EA468EE" w14:textId="644E50AC" w:rsidR="00211CFE" w:rsidRDefault="00EF739A" w:rsidP="008541FE">
      <w:pPr>
        <w:numPr>
          <w:ilvl w:val="0"/>
          <w:numId w:val="2"/>
        </w:numPr>
        <w:ind w:left="838" w:right="205" w:hanging="286"/>
      </w:pPr>
      <w:r>
        <w:t xml:space="preserve">Responsible for delivery of </w:t>
      </w:r>
      <w:r w:rsidR="00F618BF">
        <w:t>E</w:t>
      </w:r>
      <w:r w:rsidR="00916932">
        <w:t xml:space="preserve">nergy, </w:t>
      </w:r>
      <w:r w:rsidR="00F618BF">
        <w:t>W</w:t>
      </w:r>
      <w:r w:rsidR="00916932">
        <w:t xml:space="preserve">aste, </w:t>
      </w:r>
      <w:r w:rsidR="00F618BF">
        <w:t>A</w:t>
      </w:r>
      <w:r>
        <w:t xml:space="preserve">ir </w:t>
      </w:r>
      <w:r w:rsidR="00F618BF">
        <w:t>Q</w:t>
      </w:r>
      <w:r>
        <w:t xml:space="preserve">uality, </w:t>
      </w:r>
      <w:r w:rsidR="00F618BF">
        <w:t>W</w:t>
      </w:r>
      <w:r>
        <w:t xml:space="preserve">ater and </w:t>
      </w:r>
      <w:r w:rsidR="00F618BF">
        <w:t>P</w:t>
      </w:r>
      <w:r>
        <w:t xml:space="preserve">olicy offerings in the region </w:t>
      </w:r>
    </w:p>
    <w:p w14:paraId="745A45B4" w14:textId="77777777" w:rsidR="00211CFE" w:rsidRDefault="00EF739A" w:rsidP="008541FE">
      <w:pPr>
        <w:numPr>
          <w:ilvl w:val="0"/>
          <w:numId w:val="2"/>
        </w:numPr>
        <w:ind w:left="838" w:right="205" w:hanging="286"/>
      </w:pPr>
      <w:r>
        <w:t xml:space="preserve">Quickly built a sales funnel of £10m+, much of which was with new clients </w:t>
      </w:r>
    </w:p>
    <w:p w14:paraId="46310306" w14:textId="5F91144A" w:rsidR="00211CFE" w:rsidRDefault="00EF739A" w:rsidP="008541FE">
      <w:pPr>
        <w:numPr>
          <w:ilvl w:val="0"/>
          <w:numId w:val="2"/>
        </w:numPr>
        <w:ind w:left="838" w:right="205" w:hanging="286"/>
      </w:pPr>
      <w:r>
        <w:t>Delivered over £1</w:t>
      </w:r>
      <w:r w:rsidR="008541FE">
        <w:t>.5</w:t>
      </w:r>
      <w:r>
        <w:t xml:space="preserve">m of consulting sales in FY19/20 </w:t>
      </w:r>
      <w:r w:rsidR="008541FE">
        <w:t>and £2.5m in FY20/21</w:t>
      </w:r>
    </w:p>
    <w:p w14:paraId="614DE81A" w14:textId="77777777" w:rsidR="00211CFE" w:rsidRDefault="00EF739A" w:rsidP="008541FE">
      <w:pPr>
        <w:spacing w:after="0" w:line="259" w:lineRule="auto"/>
        <w:ind w:left="0" w:right="205" w:firstLine="0"/>
      </w:pPr>
      <w:r>
        <w:rPr>
          <w:b/>
          <w:sz w:val="24"/>
        </w:rPr>
        <w:t xml:space="preserve"> </w:t>
      </w:r>
    </w:p>
    <w:p w14:paraId="04CE0F02" w14:textId="2123ADDC" w:rsidR="00211CFE" w:rsidRDefault="00EF739A" w:rsidP="008D14E5">
      <w:pPr>
        <w:pStyle w:val="Heading2"/>
        <w:tabs>
          <w:tab w:val="left" w:pos="1701"/>
          <w:tab w:val="center" w:pos="3794"/>
          <w:tab w:val="right" w:pos="9704"/>
        </w:tabs>
        <w:ind w:left="-15" w:right="205" w:firstLine="0"/>
      </w:pPr>
      <w:r>
        <w:t>2017 – 2018</w:t>
      </w:r>
      <w:r>
        <w:rPr>
          <w:b w:val="0"/>
        </w:rPr>
        <w:t xml:space="preserve"> </w:t>
      </w:r>
      <w:r>
        <w:rPr>
          <w:b w:val="0"/>
        </w:rPr>
        <w:tab/>
      </w:r>
      <w:r>
        <w:t>BPC Plus</w:t>
      </w:r>
      <w:r w:rsidR="008D14E5">
        <w:t xml:space="preserve">, </w:t>
      </w:r>
      <w:r>
        <w:t>Interim CEO</w:t>
      </w:r>
      <w:r>
        <w:rPr>
          <w:b w:val="0"/>
        </w:rPr>
        <w:tab/>
      </w:r>
      <w:r>
        <w:t>Middle East</w:t>
      </w:r>
      <w:r>
        <w:rPr>
          <w:b w:val="0"/>
        </w:rPr>
        <w:t xml:space="preserve"> </w:t>
      </w:r>
    </w:p>
    <w:p w14:paraId="70225FDE" w14:textId="77777777" w:rsidR="00211CFE" w:rsidRDefault="00EF739A" w:rsidP="008541FE">
      <w:pPr>
        <w:numPr>
          <w:ilvl w:val="0"/>
          <w:numId w:val="3"/>
        </w:numPr>
        <w:ind w:left="838" w:right="205" w:hanging="286"/>
      </w:pPr>
      <w:r>
        <w:t xml:space="preserve">Appointed as Chief Executive Officer to establish core processes and grow this recent start-up   </w:t>
      </w:r>
    </w:p>
    <w:p w14:paraId="71C4C4ED" w14:textId="77777777" w:rsidR="00211CFE" w:rsidRDefault="00EF739A" w:rsidP="008541FE">
      <w:pPr>
        <w:numPr>
          <w:ilvl w:val="0"/>
          <w:numId w:val="3"/>
        </w:numPr>
        <w:ind w:left="838" w:right="205" w:hanging="286"/>
      </w:pPr>
      <w:r>
        <w:t xml:space="preserve">Delivered a $9m Information &amp; Cyber Security strategy for Qatar Petroleum </w:t>
      </w:r>
    </w:p>
    <w:p w14:paraId="24C3ACEA" w14:textId="77777777" w:rsidR="00211CFE" w:rsidRDefault="00EF739A" w:rsidP="008541FE">
      <w:pPr>
        <w:numPr>
          <w:ilvl w:val="0"/>
          <w:numId w:val="3"/>
        </w:numPr>
        <w:ind w:left="838" w:right="205" w:hanging="286"/>
      </w:pPr>
      <w:r>
        <w:t xml:space="preserve">Business development to quickly build a $6m sales pipeline and new client base </w:t>
      </w:r>
    </w:p>
    <w:p w14:paraId="01CD4762" w14:textId="77777777" w:rsidR="00211CFE" w:rsidRDefault="00EF739A" w:rsidP="008541FE">
      <w:pPr>
        <w:spacing w:after="0" w:line="259" w:lineRule="auto"/>
        <w:ind w:left="0" w:right="205" w:firstLine="0"/>
      </w:pPr>
      <w:r>
        <w:rPr>
          <w:b/>
          <w:sz w:val="24"/>
        </w:rPr>
        <w:t xml:space="preserve"> </w:t>
      </w:r>
    </w:p>
    <w:p w14:paraId="3B381AD2" w14:textId="41EC3A81" w:rsidR="00211CFE" w:rsidRDefault="00EF739A" w:rsidP="008D14E5">
      <w:pPr>
        <w:pStyle w:val="Heading2"/>
        <w:tabs>
          <w:tab w:val="left" w:pos="1701"/>
          <w:tab w:val="center" w:pos="4568"/>
          <w:tab w:val="right" w:pos="9704"/>
        </w:tabs>
        <w:ind w:left="-15" w:right="205" w:firstLine="0"/>
      </w:pPr>
      <w:r>
        <w:t>2012 – 2017</w:t>
      </w:r>
      <w:r>
        <w:rPr>
          <w:b w:val="0"/>
        </w:rPr>
        <w:t xml:space="preserve"> </w:t>
      </w:r>
      <w:r>
        <w:rPr>
          <w:b w:val="0"/>
        </w:rPr>
        <w:tab/>
      </w:r>
      <w:r>
        <w:t>T</w:t>
      </w:r>
      <w:r w:rsidR="00FE4F35">
        <w:t xml:space="preserve">ransport </w:t>
      </w:r>
      <w:r>
        <w:t>R</w:t>
      </w:r>
      <w:r w:rsidR="00FE4F35">
        <w:t xml:space="preserve">esearch </w:t>
      </w:r>
      <w:r>
        <w:t>L</w:t>
      </w:r>
      <w:r w:rsidR="00FE4F35">
        <w:t>aboratory (TRL)</w:t>
      </w:r>
      <w:r w:rsidR="008D14E5">
        <w:t xml:space="preserve">, </w:t>
      </w:r>
      <w:r>
        <w:t xml:space="preserve">Regional </w:t>
      </w:r>
      <w:r w:rsidR="00CB37AB">
        <w:t>Director</w:t>
      </w:r>
      <w:r w:rsidR="00CB37AB">
        <w:tab/>
      </w:r>
      <w:r>
        <w:t>Middle East</w:t>
      </w:r>
      <w:r>
        <w:rPr>
          <w:b w:val="0"/>
        </w:rPr>
        <w:t xml:space="preserve"> </w:t>
      </w:r>
    </w:p>
    <w:p w14:paraId="7269C82C" w14:textId="77777777" w:rsidR="00211CFE" w:rsidRDefault="00EF739A" w:rsidP="008541FE">
      <w:pPr>
        <w:numPr>
          <w:ilvl w:val="0"/>
          <w:numId w:val="4"/>
        </w:numPr>
        <w:ind w:left="838" w:right="205" w:hanging="286"/>
      </w:pPr>
      <w:r>
        <w:t xml:space="preserve">Led and built an operating model for TRL’s ME businesses in Dubai, Abu Dhabi and Qatar </w:t>
      </w:r>
    </w:p>
    <w:p w14:paraId="5F3147AE" w14:textId="77777777" w:rsidR="00211CFE" w:rsidRDefault="00EF739A" w:rsidP="008541FE">
      <w:pPr>
        <w:numPr>
          <w:ilvl w:val="0"/>
          <w:numId w:val="4"/>
        </w:numPr>
        <w:ind w:left="838" w:right="205" w:hanging="286"/>
      </w:pPr>
      <w:r>
        <w:t xml:space="preserve">Grew a sub-£1m a year start-up into a £3.5m+ turnover business in 3 years </w:t>
      </w:r>
    </w:p>
    <w:p w14:paraId="0097B642" w14:textId="77777777" w:rsidR="00211CFE" w:rsidRDefault="00EF739A" w:rsidP="008541FE">
      <w:pPr>
        <w:numPr>
          <w:ilvl w:val="0"/>
          <w:numId w:val="4"/>
        </w:numPr>
        <w:ind w:left="838" w:right="205" w:hanging="286"/>
      </w:pPr>
      <w:r>
        <w:t xml:space="preserve">Delivered mobility, infrastructure &amp; sustainability consultancy to public &amp; private sector clients </w:t>
      </w:r>
    </w:p>
    <w:p w14:paraId="57379F7F" w14:textId="77777777" w:rsidR="00211CFE" w:rsidRDefault="00EF739A" w:rsidP="008541FE">
      <w:pPr>
        <w:spacing w:after="13" w:line="259" w:lineRule="auto"/>
        <w:ind w:left="0" w:right="205" w:firstLine="0"/>
      </w:pPr>
      <w:r>
        <w:t xml:space="preserve"> </w:t>
      </w:r>
    </w:p>
    <w:p w14:paraId="0BEEBAB6" w14:textId="2C73D842" w:rsidR="00211CFE" w:rsidRDefault="00EF739A" w:rsidP="00CB37AB">
      <w:pPr>
        <w:pStyle w:val="Heading2"/>
        <w:tabs>
          <w:tab w:val="left" w:pos="1701"/>
          <w:tab w:val="center" w:pos="4429"/>
          <w:tab w:val="right" w:pos="9704"/>
        </w:tabs>
        <w:ind w:left="-15" w:right="205" w:firstLine="0"/>
      </w:pPr>
      <w:r>
        <w:t>2009 – 2012</w:t>
      </w:r>
      <w:r>
        <w:rPr>
          <w:b w:val="0"/>
        </w:rPr>
        <w:t xml:space="preserve"> </w:t>
      </w:r>
      <w:r>
        <w:rPr>
          <w:b w:val="0"/>
        </w:rPr>
        <w:tab/>
      </w:r>
      <w:r>
        <w:t>Nokia</w:t>
      </w:r>
      <w:r w:rsidR="00CB37AB">
        <w:t xml:space="preserve"> Siemens Networks, </w:t>
      </w:r>
      <w:r>
        <w:t>Global Practice Head</w:t>
      </w:r>
      <w:r>
        <w:rPr>
          <w:b w:val="0"/>
        </w:rPr>
        <w:tab/>
      </w:r>
      <w:r>
        <w:t xml:space="preserve">Middle East/Global </w:t>
      </w:r>
      <w:r>
        <w:rPr>
          <w:b w:val="0"/>
        </w:rPr>
        <w:t xml:space="preserve"> </w:t>
      </w:r>
    </w:p>
    <w:p w14:paraId="607D8273" w14:textId="77777777" w:rsidR="00211CFE" w:rsidRDefault="00EF739A" w:rsidP="008541FE">
      <w:pPr>
        <w:numPr>
          <w:ilvl w:val="0"/>
          <w:numId w:val="5"/>
        </w:numPr>
        <w:ind w:left="838" w:right="205" w:hanging="286"/>
      </w:pPr>
      <w:r>
        <w:t xml:space="preserve">Established and led the global Revenue Generation consulting practice </w:t>
      </w:r>
    </w:p>
    <w:p w14:paraId="4A0267AB" w14:textId="77777777" w:rsidR="00211CFE" w:rsidRDefault="00EF739A" w:rsidP="008541FE">
      <w:pPr>
        <w:numPr>
          <w:ilvl w:val="0"/>
          <w:numId w:val="5"/>
        </w:numPr>
        <w:ind w:left="838" w:right="205" w:hanging="286"/>
      </w:pPr>
      <w:r>
        <w:t xml:space="preserve">Worked with operators to identify and realise new revenue from their technology investments </w:t>
      </w:r>
    </w:p>
    <w:p w14:paraId="594FE88E" w14:textId="77777777" w:rsidR="00211CFE" w:rsidRDefault="00EF739A" w:rsidP="008541FE">
      <w:pPr>
        <w:numPr>
          <w:ilvl w:val="0"/>
          <w:numId w:val="5"/>
        </w:numPr>
        <w:spacing w:after="0" w:line="259" w:lineRule="auto"/>
        <w:ind w:left="838" w:right="205" w:hanging="286"/>
      </w:pPr>
      <w:r>
        <w:t xml:space="preserve">Delivered €6m of “revenue growth” consulting sales in 3 years, as well as 3rd party partnerships </w:t>
      </w:r>
    </w:p>
    <w:p w14:paraId="69997CD4" w14:textId="77777777" w:rsidR="00211CFE" w:rsidRDefault="00EF739A" w:rsidP="008541FE">
      <w:pPr>
        <w:numPr>
          <w:ilvl w:val="0"/>
          <w:numId w:val="5"/>
        </w:numPr>
        <w:ind w:left="838" w:right="205" w:hanging="286"/>
      </w:pPr>
      <w:r>
        <w:t xml:space="preserve">Supported global account teams to sell and deliver €10m+ technology deals </w:t>
      </w:r>
    </w:p>
    <w:p w14:paraId="4056CAC6" w14:textId="77777777" w:rsidR="00211CFE" w:rsidRDefault="00EF739A" w:rsidP="008541FE">
      <w:pPr>
        <w:spacing w:after="0" w:line="259" w:lineRule="auto"/>
        <w:ind w:left="0" w:right="205" w:firstLine="0"/>
      </w:pPr>
      <w:r>
        <w:rPr>
          <w:b/>
          <w:sz w:val="24"/>
        </w:rPr>
        <w:t xml:space="preserve"> </w:t>
      </w:r>
    </w:p>
    <w:p w14:paraId="5CADEE23" w14:textId="49769F00" w:rsidR="00211CFE" w:rsidRDefault="00EF739A" w:rsidP="00CB37AB">
      <w:pPr>
        <w:pStyle w:val="Heading2"/>
        <w:tabs>
          <w:tab w:val="left" w:pos="1701"/>
          <w:tab w:val="right" w:pos="9704"/>
        </w:tabs>
        <w:ind w:left="-15" w:right="205" w:firstLine="0"/>
      </w:pPr>
      <w:r>
        <w:t>2006 – 2009</w:t>
      </w:r>
      <w:r>
        <w:rPr>
          <w:b w:val="0"/>
        </w:rPr>
        <w:t xml:space="preserve"> </w:t>
      </w:r>
      <w:r>
        <w:rPr>
          <w:b w:val="0"/>
        </w:rPr>
        <w:tab/>
      </w:r>
      <w:r>
        <w:t>Telstra</w:t>
      </w:r>
      <w:r w:rsidR="009C7483">
        <w:t xml:space="preserve">, </w:t>
      </w:r>
      <w:r>
        <w:t>Director Commercial &amp; Contracts</w:t>
      </w:r>
      <w:r>
        <w:rPr>
          <w:b w:val="0"/>
        </w:rPr>
        <w:t xml:space="preserve"> </w:t>
      </w:r>
      <w:r w:rsidR="00CB37AB">
        <w:rPr>
          <w:b w:val="0"/>
        </w:rPr>
        <w:tab/>
      </w:r>
      <w:r>
        <w:t>Australia</w:t>
      </w:r>
      <w:r>
        <w:rPr>
          <w:b w:val="0"/>
        </w:rPr>
        <w:t xml:space="preserve"> </w:t>
      </w:r>
    </w:p>
    <w:p w14:paraId="17959740" w14:textId="77777777" w:rsidR="00211CFE" w:rsidRDefault="00EF739A" w:rsidP="008541FE">
      <w:pPr>
        <w:numPr>
          <w:ilvl w:val="0"/>
          <w:numId w:val="6"/>
        </w:numPr>
        <w:ind w:left="838" w:right="205" w:hanging="286"/>
      </w:pPr>
      <w:r>
        <w:t xml:space="preserve">Accountable for Telstra’s indirect sales channels: shops, dealers and call centres </w:t>
      </w:r>
    </w:p>
    <w:p w14:paraId="60D82041" w14:textId="77777777" w:rsidR="00211CFE" w:rsidRDefault="00EF739A" w:rsidP="008541FE">
      <w:pPr>
        <w:numPr>
          <w:ilvl w:val="0"/>
          <w:numId w:val="6"/>
        </w:numPr>
        <w:spacing w:after="38"/>
        <w:ind w:left="838" w:right="205" w:hanging="286"/>
      </w:pPr>
      <w:r>
        <w:t xml:space="preserve">Delivered over $5bn of revenue by managing a $1.4bn budget ($500m of sales commissions plus $900m of handset cost of goods sold) – with a team of over 60 cross-functional personnel </w:t>
      </w:r>
    </w:p>
    <w:p w14:paraId="5E5A4BAE" w14:textId="1D107CC9" w:rsidR="00211CFE" w:rsidRDefault="00EF739A" w:rsidP="008541FE">
      <w:pPr>
        <w:numPr>
          <w:ilvl w:val="0"/>
          <w:numId w:val="6"/>
        </w:numPr>
        <w:ind w:left="838" w:right="205" w:hanging="286"/>
      </w:pPr>
      <w:r>
        <w:t xml:space="preserve">Led Telstra’s transformation of its go to market processes for launching new products </w:t>
      </w:r>
      <w:r w:rsidR="008541FE">
        <w:t>&amp;</w:t>
      </w:r>
      <w:r>
        <w:t xml:space="preserve"> services </w:t>
      </w:r>
    </w:p>
    <w:p w14:paraId="49164BE5" w14:textId="77777777" w:rsidR="00211CFE" w:rsidRDefault="00EF739A" w:rsidP="008541FE">
      <w:pPr>
        <w:spacing w:after="0" w:line="259" w:lineRule="auto"/>
        <w:ind w:left="0" w:right="205" w:firstLine="0"/>
      </w:pPr>
      <w:r>
        <w:rPr>
          <w:b/>
          <w:sz w:val="24"/>
        </w:rPr>
        <w:t xml:space="preserve"> </w:t>
      </w:r>
    </w:p>
    <w:p w14:paraId="776A696E" w14:textId="51C46949" w:rsidR="00211CFE" w:rsidRDefault="00EF739A" w:rsidP="009C7483">
      <w:pPr>
        <w:pStyle w:val="Heading2"/>
        <w:tabs>
          <w:tab w:val="left" w:pos="1701"/>
          <w:tab w:val="center" w:pos="4391"/>
          <w:tab w:val="right" w:pos="9704"/>
        </w:tabs>
        <w:ind w:left="-15" w:right="205" w:firstLine="0"/>
      </w:pPr>
      <w:r>
        <w:t>1998 – 2006</w:t>
      </w:r>
      <w:r>
        <w:rPr>
          <w:b w:val="0"/>
        </w:rPr>
        <w:t xml:space="preserve"> </w:t>
      </w:r>
      <w:r>
        <w:rPr>
          <w:b w:val="0"/>
        </w:rPr>
        <w:tab/>
      </w:r>
      <w:r>
        <w:t>A.T. Kearney</w:t>
      </w:r>
      <w:r w:rsidR="009C7483">
        <w:t xml:space="preserve">, </w:t>
      </w:r>
      <w:r>
        <w:t>Senior</w:t>
      </w:r>
      <w:r>
        <w:rPr>
          <w:b w:val="0"/>
        </w:rPr>
        <w:t xml:space="preserve"> </w:t>
      </w:r>
      <w:r>
        <w:t>Manager</w:t>
      </w:r>
      <w:r>
        <w:rPr>
          <w:b w:val="0"/>
        </w:rPr>
        <w:t xml:space="preserve"> </w:t>
      </w:r>
      <w:r>
        <w:rPr>
          <w:b w:val="0"/>
        </w:rPr>
        <w:tab/>
      </w:r>
      <w:r>
        <w:t>Europe, US &amp; Australia</w:t>
      </w:r>
      <w:r>
        <w:rPr>
          <w:b w:val="0"/>
        </w:rPr>
        <w:t xml:space="preserve"> </w:t>
      </w:r>
    </w:p>
    <w:p w14:paraId="485B879D" w14:textId="2D8F6424" w:rsidR="007C32F4" w:rsidRDefault="00EF739A" w:rsidP="008541FE">
      <w:pPr>
        <w:spacing w:after="210"/>
        <w:ind w:left="562" w:right="205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Led teams of board level executives to successfully develop new strategies and implement change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Managed major client engagements (on time and to budget) and senior client relationships</w:t>
      </w:r>
    </w:p>
    <w:p w14:paraId="74BFC545" w14:textId="1F508144" w:rsidR="007C32F4" w:rsidRDefault="007C32F4" w:rsidP="007C32F4">
      <w:pPr>
        <w:spacing w:after="55" w:line="259" w:lineRule="auto"/>
        <w:ind w:left="0" w:right="205" w:firstLine="0"/>
        <w:jc w:val="both"/>
      </w:pPr>
      <w:r>
        <w:rPr>
          <w:u w:val="single" w:color="000000"/>
        </w:rPr>
        <w:lastRenderedPageBreak/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9D62689" w14:textId="77777777" w:rsidR="00255E86" w:rsidRPr="00255E86" w:rsidRDefault="00255E86" w:rsidP="00255E86">
      <w:p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>EDUCATION</w:t>
      </w: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ab/>
      </w:r>
    </w:p>
    <w:p w14:paraId="57914F61" w14:textId="77777777" w:rsidR="00255E86" w:rsidRPr="00255E86" w:rsidRDefault="00255E86" w:rsidP="00255E86">
      <w:p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b/>
          <w:color w:val="auto"/>
          <w:szCs w:val="20"/>
          <w:lang w:eastAsia="en-US"/>
        </w:rPr>
      </w:pPr>
    </w:p>
    <w:p w14:paraId="7C9F2582" w14:textId="77777777" w:rsidR="00255E86" w:rsidRPr="00255E86" w:rsidRDefault="00255E86" w:rsidP="00255E86">
      <w:p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2003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  <w:t xml:space="preserve">University of Michigan – </w:t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MBA</w:t>
      </w:r>
      <w:r w:rsidRPr="00255E86">
        <w:rPr>
          <w:rFonts w:eastAsia="Times New Roman" w:cs="Times New Roman"/>
          <w:color w:val="auto"/>
          <w:szCs w:val="20"/>
          <w:lang w:eastAsia="en-US"/>
        </w:rPr>
        <w:t xml:space="preserve"> (sponsored by A.T. Kearney)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US</w:t>
      </w:r>
    </w:p>
    <w:p w14:paraId="3B9EDC0E" w14:textId="77777777" w:rsidR="00255E86" w:rsidRPr="00255E86" w:rsidRDefault="00255E86" w:rsidP="00255E86">
      <w:pPr>
        <w:numPr>
          <w:ilvl w:val="12"/>
          <w:numId w:val="0"/>
        </w:num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right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1992 - 1993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  <w:t xml:space="preserve">London School of Economics (LSE) – </w:t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MSc (Econ)</w:t>
      </w:r>
      <w:r w:rsidRPr="00255E86">
        <w:rPr>
          <w:rFonts w:eastAsia="Times New Roman" w:cs="Times New Roman"/>
          <w:color w:val="auto"/>
          <w:szCs w:val="20"/>
          <w:lang w:eastAsia="en-US"/>
        </w:rPr>
        <w:t xml:space="preserve"> Operational Research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UK</w:t>
      </w:r>
    </w:p>
    <w:p w14:paraId="586CD3C3" w14:textId="77777777" w:rsidR="00255E86" w:rsidRPr="00255E86" w:rsidRDefault="00255E86" w:rsidP="00255E86">
      <w:pPr>
        <w:numPr>
          <w:ilvl w:val="12"/>
          <w:numId w:val="0"/>
        </w:num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right="0"/>
        <w:rPr>
          <w:rFonts w:eastAsia="Times New Roman" w:cs="Times New Roman"/>
          <w:b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1988 - 1992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  <w:t xml:space="preserve">Middlesex University – </w:t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BSc (Hons)</w:t>
      </w:r>
      <w:r w:rsidRPr="00255E86">
        <w:rPr>
          <w:rFonts w:eastAsia="Times New Roman" w:cs="Times New Roman"/>
          <w:color w:val="auto"/>
          <w:szCs w:val="20"/>
          <w:lang w:eastAsia="en-US"/>
        </w:rPr>
        <w:t xml:space="preserve"> Mathematics for Business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>UK</w:t>
      </w:r>
    </w:p>
    <w:p w14:paraId="23313358" w14:textId="77777777" w:rsidR="00255E86" w:rsidRDefault="00255E86" w:rsidP="00255E86">
      <w:pPr>
        <w:tabs>
          <w:tab w:val="left" w:pos="1418"/>
          <w:tab w:val="left" w:pos="1710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u w:val="single"/>
          <w:lang w:eastAsia="en-US"/>
        </w:rPr>
      </w:pPr>
    </w:p>
    <w:p w14:paraId="12C362EF" w14:textId="5C0E1464" w:rsidR="00255E86" w:rsidRPr="00255E86" w:rsidRDefault="00255E86" w:rsidP="00255E86">
      <w:pPr>
        <w:tabs>
          <w:tab w:val="left" w:pos="1418"/>
          <w:tab w:val="left" w:pos="1710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u w:val="single"/>
          <w:lang w:eastAsia="en-US"/>
        </w:rPr>
      </w:pPr>
      <w:r w:rsidRPr="00255E86">
        <w:rPr>
          <w:rFonts w:eastAsia="Times New Roman" w:cs="Times New Roman"/>
          <w:color w:val="auto"/>
          <w:u w:val="single"/>
          <w:lang w:eastAsia="en-US"/>
        </w:rPr>
        <w:tab/>
      </w:r>
      <w:r w:rsidRPr="00255E86">
        <w:rPr>
          <w:rFonts w:eastAsia="Times New Roman" w:cs="Times New Roman"/>
          <w:color w:val="auto"/>
          <w:u w:val="single"/>
          <w:lang w:eastAsia="en-US"/>
        </w:rPr>
        <w:tab/>
      </w:r>
      <w:r w:rsidRPr="00255E86">
        <w:rPr>
          <w:rFonts w:eastAsia="Times New Roman" w:cs="Times New Roman"/>
          <w:color w:val="auto"/>
          <w:u w:val="single"/>
          <w:lang w:eastAsia="en-US"/>
        </w:rPr>
        <w:tab/>
      </w:r>
    </w:p>
    <w:p w14:paraId="6CB735D3" w14:textId="77777777" w:rsidR="00255E86" w:rsidRPr="00255E86" w:rsidRDefault="00255E86" w:rsidP="00255E86">
      <w:pPr>
        <w:tabs>
          <w:tab w:val="left" w:pos="3402"/>
          <w:tab w:val="right" w:pos="9356"/>
          <w:tab w:val="right" w:pos="9639"/>
        </w:tabs>
        <w:spacing w:after="0" w:line="240" w:lineRule="auto"/>
        <w:ind w:left="1422" w:right="0" w:hanging="1422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>ADDITIONAL PROFESSIONAL EXPERIENCE</w:t>
      </w: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ab/>
      </w:r>
    </w:p>
    <w:p w14:paraId="4B98D909" w14:textId="77777777" w:rsidR="00255E86" w:rsidRPr="00255E86" w:rsidRDefault="00255E86" w:rsidP="00255E86">
      <w:pPr>
        <w:numPr>
          <w:ilvl w:val="12"/>
          <w:numId w:val="0"/>
        </w:numPr>
        <w:tabs>
          <w:tab w:val="left" w:pos="1418"/>
          <w:tab w:val="left" w:pos="4140"/>
          <w:tab w:val="right" w:pos="9356"/>
          <w:tab w:val="right" w:pos="9639"/>
        </w:tabs>
        <w:spacing w:after="0" w:line="240" w:lineRule="auto"/>
        <w:ind w:right="0"/>
        <w:rPr>
          <w:rFonts w:eastAsia="Times New Roman" w:cs="Times New Roman"/>
          <w:b/>
          <w:color w:val="auto"/>
          <w:szCs w:val="20"/>
          <w:lang w:eastAsia="en-US"/>
        </w:rPr>
      </w:pPr>
    </w:p>
    <w:p w14:paraId="41CB1200" w14:textId="77777777" w:rsidR="00255E86" w:rsidRPr="00255E86" w:rsidRDefault="00255E86" w:rsidP="00255E86">
      <w:pPr>
        <w:numPr>
          <w:ilvl w:val="12"/>
          <w:numId w:val="0"/>
        </w:numPr>
        <w:tabs>
          <w:tab w:val="left" w:pos="1418"/>
          <w:tab w:val="left" w:pos="4140"/>
          <w:tab w:val="right" w:pos="9639"/>
        </w:tabs>
        <w:spacing w:after="0" w:line="240" w:lineRule="auto"/>
        <w:ind w:right="0"/>
        <w:rPr>
          <w:rFonts w:eastAsia="Times New Roman" w:cs="Times New Roman"/>
          <w:color w:val="auto"/>
          <w:sz w:val="24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 w:val="24"/>
          <w:szCs w:val="20"/>
          <w:lang w:eastAsia="en-US"/>
        </w:rPr>
        <w:t>2011 - 2014</w:t>
      </w:r>
      <w:r w:rsidRPr="00255E86">
        <w:rPr>
          <w:rFonts w:eastAsia="Times New Roman" w:cs="Times New Roman"/>
          <w:color w:val="auto"/>
          <w:sz w:val="24"/>
          <w:szCs w:val="20"/>
          <w:lang w:eastAsia="en-US"/>
        </w:rPr>
        <w:tab/>
      </w:r>
      <w:r w:rsidRPr="00255E86">
        <w:rPr>
          <w:rFonts w:eastAsia="Times New Roman" w:cs="Times New Roman"/>
          <w:b/>
          <w:color w:val="auto"/>
          <w:sz w:val="24"/>
          <w:szCs w:val="20"/>
          <w:lang w:eastAsia="en-US"/>
        </w:rPr>
        <w:t>HEC Paris in Qatar, Business School Advisor</w:t>
      </w:r>
      <w:r w:rsidRPr="00255E86">
        <w:rPr>
          <w:rFonts w:eastAsia="Times New Roman" w:cs="Times New Roman"/>
          <w:color w:val="auto"/>
          <w:sz w:val="24"/>
          <w:szCs w:val="20"/>
          <w:lang w:eastAsia="en-US"/>
        </w:rPr>
        <w:tab/>
      </w:r>
      <w:r w:rsidRPr="00255E86">
        <w:rPr>
          <w:rFonts w:eastAsia="Times New Roman" w:cs="Times New Roman"/>
          <w:b/>
          <w:color w:val="auto"/>
          <w:sz w:val="24"/>
          <w:szCs w:val="20"/>
          <w:lang w:eastAsia="en-US"/>
        </w:rPr>
        <w:t>Qatar</w:t>
      </w:r>
    </w:p>
    <w:p w14:paraId="267E5AC6" w14:textId="77777777" w:rsidR="00255E86" w:rsidRPr="00255E86" w:rsidRDefault="00255E86" w:rsidP="00255E86">
      <w:pPr>
        <w:numPr>
          <w:ilvl w:val="0"/>
          <w:numId w:val="9"/>
        </w:numPr>
        <w:tabs>
          <w:tab w:val="left" w:pos="851"/>
          <w:tab w:val="right" w:pos="9639"/>
        </w:tabs>
        <w:spacing w:after="0" w:line="240" w:lineRule="auto"/>
        <w:ind w:left="851" w:right="0" w:hanging="284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color w:val="auto"/>
          <w:szCs w:val="20"/>
          <w:lang w:eastAsia="en-US"/>
        </w:rPr>
        <w:t>Coached Executive MBA students on both group and individual strategy projects</w:t>
      </w:r>
    </w:p>
    <w:p w14:paraId="586D306D" w14:textId="77777777" w:rsidR="00255E86" w:rsidRPr="00255E86" w:rsidRDefault="00255E86" w:rsidP="00255E86">
      <w:pPr>
        <w:tabs>
          <w:tab w:val="left" w:pos="1418"/>
          <w:tab w:val="left" w:pos="414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u w:val="single"/>
          <w:lang w:eastAsia="en-US"/>
        </w:rPr>
      </w:pPr>
    </w:p>
    <w:p w14:paraId="6FE79EE9" w14:textId="77777777" w:rsidR="00255E86" w:rsidRPr="00255E86" w:rsidRDefault="00255E86" w:rsidP="00255E86">
      <w:pPr>
        <w:tabs>
          <w:tab w:val="left" w:pos="1418"/>
          <w:tab w:val="left" w:pos="414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 w:val="24"/>
          <w:szCs w:val="20"/>
          <w:lang w:val="en-AU" w:eastAsia="en-US"/>
        </w:rPr>
      </w:pPr>
      <w:r w:rsidRPr="00255E86">
        <w:rPr>
          <w:rFonts w:eastAsia="Times New Roman" w:cs="Times New Roman"/>
          <w:b/>
          <w:color w:val="auto"/>
          <w:sz w:val="24"/>
          <w:szCs w:val="20"/>
          <w:lang w:val="en-AU" w:eastAsia="en-US"/>
        </w:rPr>
        <w:t>1993 – 1997</w:t>
      </w:r>
      <w:r w:rsidRPr="00255E86">
        <w:rPr>
          <w:rFonts w:eastAsia="Times New Roman" w:cs="Times New Roman"/>
          <w:color w:val="auto"/>
          <w:sz w:val="24"/>
          <w:szCs w:val="20"/>
          <w:lang w:val="en-AU" w:eastAsia="en-US"/>
        </w:rPr>
        <w:tab/>
      </w:r>
      <w:r w:rsidRPr="00255E86">
        <w:rPr>
          <w:rFonts w:eastAsia="Times New Roman" w:cs="Times New Roman"/>
          <w:b/>
          <w:color w:val="auto"/>
          <w:sz w:val="24"/>
          <w:szCs w:val="20"/>
          <w:lang w:val="en-AU" w:eastAsia="en-US"/>
        </w:rPr>
        <w:t>London Business School, Research Associate</w:t>
      </w:r>
      <w:r w:rsidRPr="00255E86">
        <w:rPr>
          <w:rFonts w:eastAsia="Times New Roman" w:cs="Times New Roman"/>
          <w:color w:val="auto"/>
          <w:sz w:val="24"/>
          <w:szCs w:val="20"/>
          <w:lang w:val="en-AU" w:eastAsia="en-US"/>
        </w:rPr>
        <w:tab/>
      </w:r>
      <w:r w:rsidRPr="00255E86">
        <w:rPr>
          <w:rFonts w:eastAsia="Times New Roman" w:cs="Times New Roman"/>
          <w:color w:val="auto"/>
          <w:sz w:val="24"/>
          <w:szCs w:val="20"/>
          <w:lang w:val="en-AU" w:eastAsia="en-US"/>
        </w:rPr>
        <w:tab/>
      </w:r>
      <w:r w:rsidRPr="00255E86">
        <w:rPr>
          <w:rFonts w:eastAsia="Times New Roman" w:cs="Times New Roman"/>
          <w:b/>
          <w:color w:val="auto"/>
          <w:sz w:val="24"/>
          <w:szCs w:val="20"/>
          <w:lang w:val="en-AU" w:eastAsia="en-US"/>
        </w:rPr>
        <w:t>UK</w:t>
      </w:r>
    </w:p>
    <w:p w14:paraId="23C83E44" w14:textId="7C83A934" w:rsidR="00255E86" w:rsidRDefault="00255E86" w:rsidP="00255E86">
      <w:pPr>
        <w:numPr>
          <w:ilvl w:val="0"/>
          <w:numId w:val="9"/>
        </w:numPr>
        <w:tabs>
          <w:tab w:val="left" w:pos="851"/>
          <w:tab w:val="right" w:pos="9639"/>
        </w:tabs>
        <w:spacing w:after="0" w:line="240" w:lineRule="auto"/>
        <w:ind w:left="851" w:right="0" w:hanging="284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color w:val="auto"/>
          <w:szCs w:val="20"/>
          <w:lang w:eastAsia="en-US"/>
        </w:rPr>
        <w:t>Ran a series of electricity capacity planning research projects for the UK power industry</w:t>
      </w:r>
    </w:p>
    <w:p w14:paraId="61FF3B41" w14:textId="15015202" w:rsidR="00653B07" w:rsidRPr="00255E86" w:rsidRDefault="00653B07" w:rsidP="00255E86">
      <w:pPr>
        <w:numPr>
          <w:ilvl w:val="0"/>
          <w:numId w:val="9"/>
        </w:numPr>
        <w:tabs>
          <w:tab w:val="left" w:pos="851"/>
          <w:tab w:val="right" w:pos="9639"/>
        </w:tabs>
        <w:spacing w:after="0" w:line="240" w:lineRule="auto"/>
        <w:ind w:left="851" w:right="0" w:hanging="284"/>
        <w:rPr>
          <w:rFonts w:eastAsia="Times New Roman" w:cs="Times New Roman"/>
          <w:color w:val="auto"/>
          <w:szCs w:val="20"/>
          <w:lang w:eastAsia="en-US"/>
        </w:rPr>
      </w:pPr>
      <w:r>
        <w:rPr>
          <w:rFonts w:eastAsia="Times New Roman" w:cs="Times New Roman"/>
          <w:color w:val="auto"/>
          <w:szCs w:val="20"/>
          <w:lang w:eastAsia="en-US"/>
        </w:rPr>
        <w:t xml:space="preserve">Conducted research into </w:t>
      </w:r>
      <w:r w:rsidRPr="00653B07">
        <w:rPr>
          <w:rFonts w:eastAsia="Times New Roman" w:cs="Times New Roman"/>
          <w:color w:val="auto"/>
          <w:szCs w:val="20"/>
          <w:lang w:eastAsia="en-US"/>
        </w:rPr>
        <w:t>“An OO Framework for Mathematical Modelling”</w:t>
      </w:r>
    </w:p>
    <w:p w14:paraId="52056591" w14:textId="77777777" w:rsidR="00BD4EAE" w:rsidRDefault="00BD4EAE" w:rsidP="00BD4EAE">
      <w:pPr>
        <w:spacing w:after="59" w:line="259" w:lineRule="auto"/>
        <w:ind w:left="0" w:right="205" w:firstLine="0"/>
        <w:jc w:val="both"/>
        <w:rPr>
          <w:sz w:val="18"/>
          <w:u w:val="single" w:color="000000"/>
        </w:rPr>
      </w:pPr>
    </w:p>
    <w:p w14:paraId="3C1E5429" w14:textId="39822D02" w:rsidR="00BD4EAE" w:rsidRDefault="00BD4EAE" w:rsidP="00BD4EAE">
      <w:pPr>
        <w:spacing w:after="59" w:line="259" w:lineRule="auto"/>
        <w:ind w:left="0" w:right="205" w:firstLine="0"/>
        <w:jc w:val="both"/>
      </w:pP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28F8E7F" w14:textId="77777777" w:rsidR="00BD4EAE" w:rsidRDefault="00BD4EAE" w:rsidP="00BD4EAE">
      <w:pPr>
        <w:pStyle w:val="Heading1"/>
        <w:ind w:left="-5" w:right="205"/>
      </w:pPr>
      <w:r>
        <w:t>MEDIA AND CONFERENCE WORK</w:t>
      </w:r>
      <w:r>
        <w:rPr>
          <w:sz w:val="22"/>
        </w:rPr>
        <w:t xml:space="preserve"> </w:t>
      </w:r>
    </w:p>
    <w:p w14:paraId="085A83AB" w14:textId="77777777" w:rsidR="00BD4EAE" w:rsidRPr="008541FE" w:rsidRDefault="00BD4EAE" w:rsidP="00BD4EAE">
      <w:pPr>
        <w:spacing w:after="24" w:line="259" w:lineRule="auto"/>
        <w:ind w:left="0" w:right="205" w:firstLine="0"/>
        <w:rPr>
          <w:sz w:val="12"/>
          <w:szCs w:val="12"/>
        </w:rPr>
      </w:pPr>
      <w:r w:rsidRPr="008541FE">
        <w:rPr>
          <w:sz w:val="12"/>
          <w:szCs w:val="12"/>
        </w:rPr>
        <w:t xml:space="preserve"> </w:t>
      </w:r>
    </w:p>
    <w:p w14:paraId="1379EF65" w14:textId="77777777" w:rsidR="00BD4EAE" w:rsidRDefault="00BD4EAE" w:rsidP="00BD4EAE">
      <w:pPr>
        <w:numPr>
          <w:ilvl w:val="0"/>
          <w:numId w:val="7"/>
        </w:numPr>
        <w:spacing w:after="38"/>
        <w:ind w:right="205" w:hanging="286"/>
      </w:pPr>
      <w:r>
        <w:t xml:space="preserve">Interviewed for expert content in titles such as the Wall Street Journal, Forbes, Gulf News, Arabian Business, MENA Herald, UAE News 247, Logistics News and Esquire Magazine </w:t>
      </w:r>
    </w:p>
    <w:p w14:paraId="47E1B8FA" w14:textId="77777777" w:rsidR="00BD4EAE" w:rsidRDefault="00BD4EAE" w:rsidP="00BD4EAE">
      <w:pPr>
        <w:numPr>
          <w:ilvl w:val="0"/>
          <w:numId w:val="7"/>
        </w:numPr>
        <w:spacing w:after="0" w:line="259" w:lineRule="auto"/>
        <w:ind w:right="205" w:hanging="286"/>
      </w:pPr>
      <w:r>
        <w:t xml:space="preserve">Participate as a chairperson, presenter and/or panellist at a wide range of international transport &amp; sustainability conferences such as WEFES, GITEX, World Automotive and Smart Mobility </w:t>
      </w:r>
    </w:p>
    <w:p w14:paraId="42E10F9D" w14:textId="77777777" w:rsidR="00BD4EAE" w:rsidRDefault="00BD4EAE" w:rsidP="00255E86">
      <w:pPr>
        <w:tabs>
          <w:tab w:val="left" w:pos="1418"/>
          <w:tab w:val="left" w:pos="1710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 w:val="18"/>
          <w:szCs w:val="20"/>
          <w:u w:val="single"/>
          <w:lang w:eastAsia="en-US"/>
        </w:rPr>
      </w:pPr>
    </w:p>
    <w:p w14:paraId="540986A7" w14:textId="301C25C0" w:rsidR="00255E86" w:rsidRPr="00255E86" w:rsidRDefault="00255E86" w:rsidP="00255E86">
      <w:pPr>
        <w:tabs>
          <w:tab w:val="left" w:pos="1418"/>
          <w:tab w:val="left" w:pos="1710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u w:val="single"/>
          <w:lang w:eastAsia="en-US"/>
        </w:rPr>
      </w:pPr>
      <w:r w:rsidRPr="00255E86">
        <w:rPr>
          <w:rFonts w:eastAsia="Times New Roman" w:cs="Times New Roman"/>
          <w:color w:val="auto"/>
          <w:sz w:val="18"/>
          <w:szCs w:val="20"/>
          <w:u w:val="single"/>
          <w:lang w:eastAsia="en-US"/>
        </w:rPr>
        <w:tab/>
      </w:r>
      <w:r w:rsidRPr="00255E86">
        <w:rPr>
          <w:rFonts w:eastAsia="Times New Roman" w:cs="Times New Roman"/>
          <w:color w:val="auto"/>
          <w:sz w:val="18"/>
          <w:szCs w:val="20"/>
          <w:u w:val="single"/>
          <w:lang w:eastAsia="en-US"/>
        </w:rPr>
        <w:tab/>
      </w:r>
      <w:r w:rsidRPr="00255E86">
        <w:rPr>
          <w:rFonts w:eastAsia="Times New Roman" w:cs="Times New Roman"/>
          <w:color w:val="auto"/>
          <w:szCs w:val="20"/>
          <w:u w:val="single"/>
          <w:lang w:eastAsia="en-US"/>
        </w:rPr>
        <w:tab/>
      </w:r>
    </w:p>
    <w:p w14:paraId="0C7F873E" w14:textId="77777777" w:rsidR="00255E86" w:rsidRPr="00255E86" w:rsidRDefault="00255E86" w:rsidP="00255E86">
      <w:pPr>
        <w:numPr>
          <w:ilvl w:val="12"/>
          <w:numId w:val="0"/>
        </w:numPr>
        <w:tabs>
          <w:tab w:val="left" w:pos="1418"/>
          <w:tab w:val="left" w:pos="3402"/>
          <w:tab w:val="right" w:pos="9356"/>
          <w:tab w:val="right" w:pos="9639"/>
        </w:tabs>
        <w:spacing w:after="0" w:line="240" w:lineRule="auto"/>
        <w:ind w:right="0"/>
        <w:rPr>
          <w:rFonts w:eastAsia="Times New Roman" w:cs="Times New Roman"/>
          <w:color w:val="auto"/>
          <w:sz w:val="28"/>
          <w:szCs w:val="20"/>
          <w:lang w:eastAsia="en-US"/>
        </w:rPr>
      </w:pP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>ADDITIONAL INFORMATION</w:t>
      </w: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 w:val="28"/>
          <w:szCs w:val="20"/>
          <w:lang w:eastAsia="en-US"/>
        </w:rPr>
        <w:tab/>
      </w:r>
    </w:p>
    <w:p w14:paraId="13740F72" w14:textId="77777777" w:rsidR="00255E86" w:rsidRPr="00255E86" w:rsidRDefault="00255E86" w:rsidP="00255E86">
      <w:pPr>
        <w:tabs>
          <w:tab w:val="left" w:pos="1418"/>
          <w:tab w:val="left" w:pos="171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b/>
          <w:color w:val="auto"/>
          <w:szCs w:val="20"/>
          <w:lang w:eastAsia="en-US"/>
        </w:rPr>
      </w:pPr>
    </w:p>
    <w:p w14:paraId="66814B8C" w14:textId="77777777" w:rsidR="00255E86" w:rsidRPr="00255E86" w:rsidRDefault="00255E86" w:rsidP="00255E86">
      <w:pPr>
        <w:tabs>
          <w:tab w:val="left" w:pos="1418"/>
          <w:tab w:val="left" w:pos="171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Awards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bookmarkStart w:id="1" w:name="_Hlk500662326"/>
      <w:bookmarkStart w:id="2" w:name="_Hlk500665206"/>
      <w:r w:rsidRPr="00255E86">
        <w:rPr>
          <w:rFonts w:eastAsia="Times New Roman" w:cs="Times New Roman"/>
          <w:color w:val="auto"/>
          <w:sz w:val="14"/>
          <w:lang w:eastAsia="en-US"/>
        </w:rPr>
        <w:sym w:font="Wingdings" w:char="F06C"/>
      </w:r>
      <w:bookmarkEnd w:id="1"/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bookmarkEnd w:id="2"/>
      <w:r w:rsidRPr="00255E86">
        <w:rPr>
          <w:rFonts w:eastAsia="Times New Roman" w:cs="Times New Roman"/>
          <w:color w:val="auto"/>
          <w:szCs w:val="20"/>
          <w:lang w:eastAsia="en-US"/>
        </w:rPr>
        <w:t>Atlantic Trust Bursary to undertake research in Japan</w:t>
      </w:r>
    </w:p>
    <w:p w14:paraId="093C3079" w14:textId="4135E6BD" w:rsidR="00255E86" w:rsidRPr="00255E86" w:rsidRDefault="00255E86" w:rsidP="00BD4EAE">
      <w:pPr>
        <w:tabs>
          <w:tab w:val="left" w:pos="1418"/>
          <w:tab w:val="left" w:pos="171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Languages</w:t>
      </w:r>
      <w:r w:rsidRPr="00255E86">
        <w:rPr>
          <w:rFonts w:eastAsia="Times New Roman" w:cs="Times New Roman"/>
          <w:b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 w:val="14"/>
          <w:lang w:eastAsia="en-US"/>
        </w:rPr>
        <w:sym w:font="Wingdings" w:char="F06C"/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  <w:t>English (native)</w:t>
      </w:r>
    </w:p>
    <w:p w14:paraId="651C5A09" w14:textId="7C07B9A5" w:rsidR="00255E86" w:rsidRPr="00255E86" w:rsidRDefault="00255E86" w:rsidP="00255E86">
      <w:pPr>
        <w:tabs>
          <w:tab w:val="left" w:pos="1418"/>
          <w:tab w:val="left" w:pos="1710"/>
          <w:tab w:val="right" w:pos="9356"/>
          <w:tab w:val="right" w:pos="9639"/>
        </w:tabs>
        <w:spacing w:after="0" w:line="240" w:lineRule="auto"/>
        <w:ind w:left="0" w:right="0" w:firstLine="0"/>
        <w:rPr>
          <w:rFonts w:eastAsia="Times New Roman" w:cs="Times New Roman"/>
          <w:color w:val="auto"/>
          <w:szCs w:val="20"/>
          <w:lang w:eastAsia="en-US"/>
        </w:rPr>
      </w:pPr>
      <w:r w:rsidRPr="00255E86">
        <w:rPr>
          <w:rFonts w:eastAsia="Times New Roman" w:cs="Times New Roman"/>
          <w:b/>
          <w:color w:val="auto"/>
          <w:szCs w:val="20"/>
          <w:lang w:eastAsia="en-US"/>
        </w:rPr>
        <w:t>Nationality</w:t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</w:r>
      <w:r w:rsidRPr="00255E86">
        <w:rPr>
          <w:rFonts w:eastAsia="Times New Roman" w:cs="Times New Roman"/>
          <w:color w:val="auto"/>
          <w:sz w:val="14"/>
          <w:lang w:eastAsia="en-US"/>
        </w:rPr>
        <w:sym w:font="Wingdings" w:char="F06C"/>
      </w:r>
      <w:r w:rsidRPr="00255E86">
        <w:rPr>
          <w:rFonts w:eastAsia="Times New Roman" w:cs="Times New Roman"/>
          <w:color w:val="auto"/>
          <w:szCs w:val="20"/>
          <w:lang w:eastAsia="en-US"/>
        </w:rPr>
        <w:tab/>
        <w:t xml:space="preserve">British and Australian; Currently resident in </w:t>
      </w:r>
      <w:r w:rsidR="00BD4EAE">
        <w:rPr>
          <w:rFonts w:eastAsia="Times New Roman" w:cs="Times New Roman"/>
          <w:color w:val="auto"/>
          <w:szCs w:val="20"/>
          <w:lang w:eastAsia="en-US"/>
        </w:rPr>
        <w:t>the UAE</w:t>
      </w:r>
      <w:r w:rsidRPr="00255E86">
        <w:rPr>
          <w:rFonts w:eastAsia="Times New Roman" w:cs="Times New Roman"/>
          <w:color w:val="auto"/>
          <w:szCs w:val="20"/>
          <w:lang w:eastAsia="en-US"/>
        </w:rPr>
        <w:t xml:space="preserve"> </w:t>
      </w:r>
    </w:p>
    <w:p w14:paraId="5F2A6B57" w14:textId="77777777" w:rsidR="000F3FFE" w:rsidRDefault="000F3FFE" w:rsidP="00F045A7">
      <w:pPr>
        <w:spacing w:after="55" w:line="259" w:lineRule="auto"/>
        <w:ind w:left="0" w:right="205" w:firstLine="0"/>
        <w:jc w:val="both"/>
        <w:rPr>
          <w:u w:val="single" w:color="000000"/>
        </w:rPr>
      </w:pPr>
    </w:p>
    <w:sectPr w:rsidR="000F3FFE">
      <w:footerReference w:type="default" r:id="rId7"/>
      <w:pgSz w:w="11906" w:h="16841"/>
      <w:pgMar w:top="576" w:right="1070" w:bottom="28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271E" w14:textId="77777777" w:rsidR="002C08F7" w:rsidRDefault="002C08F7" w:rsidP="008541FE">
      <w:pPr>
        <w:spacing w:after="0" w:line="240" w:lineRule="auto"/>
      </w:pPr>
      <w:r>
        <w:separator/>
      </w:r>
    </w:p>
  </w:endnote>
  <w:endnote w:type="continuationSeparator" w:id="0">
    <w:p w14:paraId="0B702A74" w14:textId="77777777" w:rsidR="002C08F7" w:rsidRDefault="002C08F7" w:rsidP="0085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62ABE" w14:textId="133384FD" w:rsidR="008541FE" w:rsidRDefault="008541FE" w:rsidP="008541FE">
    <w:pPr>
      <w:spacing w:after="0" w:line="259" w:lineRule="auto"/>
      <w:ind w:left="-5" w:right="205"/>
    </w:pPr>
    <w:r>
      <w:rPr>
        <w:sz w:val="20"/>
      </w:rPr>
      <w:t xml:space="preserve">Page | </w:t>
    </w:r>
    <w:r w:rsidR="00A22537" w:rsidRPr="00A22537">
      <w:rPr>
        <w:sz w:val="20"/>
      </w:rPr>
      <w:fldChar w:fldCharType="begin"/>
    </w:r>
    <w:r w:rsidR="00A22537" w:rsidRPr="00A22537">
      <w:rPr>
        <w:sz w:val="20"/>
      </w:rPr>
      <w:instrText xml:space="preserve"> PAGE   \* MERGEFORMAT </w:instrText>
    </w:r>
    <w:r w:rsidR="00A22537" w:rsidRPr="00A22537">
      <w:rPr>
        <w:sz w:val="20"/>
      </w:rPr>
      <w:fldChar w:fldCharType="separate"/>
    </w:r>
    <w:r w:rsidR="00A22537" w:rsidRPr="00A22537">
      <w:rPr>
        <w:noProof/>
        <w:sz w:val="20"/>
      </w:rPr>
      <w:t>1</w:t>
    </w:r>
    <w:r w:rsidR="00A22537" w:rsidRPr="00A2253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B0897" w14:textId="77777777" w:rsidR="002C08F7" w:rsidRDefault="002C08F7" w:rsidP="008541FE">
      <w:pPr>
        <w:spacing w:after="0" w:line="240" w:lineRule="auto"/>
      </w:pPr>
      <w:r>
        <w:separator/>
      </w:r>
    </w:p>
  </w:footnote>
  <w:footnote w:type="continuationSeparator" w:id="0">
    <w:p w14:paraId="0778A105" w14:textId="77777777" w:rsidR="002C08F7" w:rsidRDefault="002C08F7" w:rsidP="0085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6F1D"/>
    <w:multiLevelType w:val="hybridMultilevel"/>
    <w:tmpl w:val="FA0E9638"/>
    <w:lvl w:ilvl="0" w:tplc="5492B60C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E63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26FA4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30882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28A4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A300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3ABDE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D4D4E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8A81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B6CE0"/>
    <w:multiLevelType w:val="hybridMultilevel"/>
    <w:tmpl w:val="3948FAB0"/>
    <w:lvl w:ilvl="0" w:tplc="F6AA5958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7C38B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842E8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5A63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06A8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859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04544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E296D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2270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686297"/>
    <w:multiLevelType w:val="hybridMultilevel"/>
    <w:tmpl w:val="F63CF1C0"/>
    <w:lvl w:ilvl="0" w:tplc="FBEE98B6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632F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8069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6D0B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AE4C3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73A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C2404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EC0AB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EC018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512DE6"/>
    <w:multiLevelType w:val="hybridMultilevel"/>
    <w:tmpl w:val="FBA6ADF2"/>
    <w:lvl w:ilvl="0" w:tplc="CD4C518A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EB16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E1FE6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7AF8A2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82048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6DE4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7831F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90302C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4698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660FAE"/>
    <w:multiLevelType w:val="hybridMultilevel"/>
    <w:tmpl w:val="2B7825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851CFE"/>
    <w:multiLevelType w:val="hybridMultilevel"/>
    <w:tmpl w:val="F1FC0CA6"/>
    <w:lvl w:ilvl="0" w:tplc="08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6" w15:restartNumberingAfterBreak="0">
    <w:nsid w:val="67D93EB1"/>
    <w:multiLevelType w:val="hybridMultilevel"/>
    <w:tmpl w:val="8A64AC34"/>
    <w:lvl w:ilvl="0" w:tplc="E9167D4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2DA88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C566E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9C292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E2493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64BCB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B6371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42F7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34B3A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667C30"/>
    <w:multiLevelType w:val="hybridMultilevel"/>
    <w:tmpl w:val="380C7F44"/>
    <w:lvl w:ilvl="0" w:tplc="DA8486FC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9C15C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02449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C445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056CE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015B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0B492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8B1E6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C6684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42822"/>
    <w:multiLevelType w:val="hybridMultilevel"/>
    <w:tmpl w:val="C2D601AA"/>
    <w:lvl w:ilvl="0" w:tplc="365822A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2D9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CC47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5CFC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01B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56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851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F0C7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F234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FE"/>
    <w:rsid w:val="00091A1D"/>
    <w:rsid w:val="000F3FFE"/>
    <w:rsid w:val="00165FD7"/>
    <w:rsid w:val="00202165"/>
    <w:rsid w:val="00211CFE"/>
    <w:rsid w:val="00231902"/>
    <w:rsid w:val="00250DDE"/>
    <w:rsid w:val="00255E86"/>
    <w:rsid w:val="002C08F7"/>
    <w:rsid w:val="00320F17"/>
    <w:rsid w:val="003C291B"/>
    <w:rsid w:val="003C6DBF"/>
    <w:rsid w:val="005501F0"/>
    <w:rsid w:val="00573A10"/>
    <w:rsid w:val="00636CFC"/>
    <w:rsid w:val="00653B07"/>
    <w:rsid w:val="007C32F4"/>
    <w:rsid w:val="007D1AE7"/>
    <w:rsid w:val="008541FE"/>
    <w:rsid w:val="008D14E5"/>
    <w:rsid w:val="008F67F6"/>
    <w:rsid w:val="00903426"/>
    <w:rsid w:val="00916932"/>
    <w:rsid w:val="009C7483"/>
    <w:rsid w:val="00A10C54"/>
    <w:rsid w:val="00A22537"/>
    <w:rsid w:val="00A26CB8"/>
    <w:rsid w:val="00B34125"/>
    <w:rsid w:val="00BA6E20"/>
    <w:rsid w:val="00BD4EAE"/>
    <w:rsid w:val="00BE67A4"/>
    <w:rsid w:val="00C25305"/>
    <w:rsid w:val="00C82037"/>
    <w:rsid w:val="00CB37AB"/>
    <w:rsid w:val="00D74B3C"/>
    <w:rsid w:val="00D77510"/>
    <w:rsid w:val="00E63A3C"/>
    <w:rsid w:val="00EF2B83"/>
    <w:rsid w:val="00EF739A"/>
    <w:rsid w:val="00F045A7"/>
    <w:rsid w:val="00F618BF"/>
    <w:rsid w:val="00FC02FC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38B22"/>
  <w15:docId w15:val="{34FA7A5D-7FD3-44E3-AC09-DA9F0936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right="6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54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1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Akin Adamson</dc:creator>
  <cp:keywords/>
  <cp:lastModifiedBy>Akin Adamson</cp:lastModifiedBy>
  <cp:revision>3</cp:revision>
  <dcterms:created xsi:type="dcterms:W3CDTF">2021-09-18T10:33:00Z</dcterms:created>
  <dcterms:modified xsi:type="dcterms:W3CDTF">2021-09-20T05:52:00Z</dcterms:modified>
</cp:coreProperties>
</file>