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6524" w14:textId="75FD4DB4" w:rsidR="000C4B76" w:rsidRPr="00BA44A3" w:rsidRDefault="006D79F7" w:rsidP="00BA44A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May/June</w:t>
      </w:r>
      <w:r w:rsidR="00BA44A3" w:rsidRPr="00BA44A3">
        <w:rPr>
          <w:b/>
          <w:bCs/>
          <w:sz w:val="44"/>
          <w:szCs w:val="44"/>
        </w:rPr>
        <w:t xml:space="preserve"> 201</w:t>
      </w:r>
      <w:r w:rsidR="00BA44A3">
        <w:rPr>
          <w:b/>
          <w:bCs/>
          <w:sz w:val="44"/>
          <w:szCs w:val="44"/>
        </w:rPr>
        <w:t>9</w:t>
      </w:r>
      <w:r w:rsidR="00BA44A3" w:rsidRPr="00BA44A3">
        <w:rPr>
          <w:b/>
          <w:bCs/>
          <w:sz w:val="44"/>
          <w:szCs w:val="44"/>
        </w:rPr>
        <w:t xml:space="preserve"> SWT Issue</w:t>
      </w:r>
    </w:p>
    <w:p w14:paraId="66EA5231" w14:textId="662A22D7" w:rsidR="00BA44A3" w:rsidRDefault="00BA44A3"/>
    <w:p w14:paraId="44D3C11F" w14:textId="0B60D522" w:rsidR="00BA44A3" w:rsidRDefault="008D5691" w:rsidP="008D5691">
      <w:pPr>
        <w:pStyle w:val="NormalWeb"/>
        <w:rPr>
          <w:rStyle w:val="Strong"/>
        </w:rPr>
      </w:pPr>
      <w:proofErr w:type="spellStart"/>
      <w:r>
        <w:rPr>
          <w:rStyle w:val="Strong"/>
        </w:rPr>
        <w:t>Telebehavioral</w:t>
      </w:r>
      <w:proofErr w:type="spellEnd"/>
      <w:r>
        <w:rPr>
          <w:rStyle w:val="Strong"/>
        </w:rPr>
        <w:t xml:space="preserve"> Health — New Digital Directions for Social Work Education</w:t>
      </w:r>
      <w:r>
        <w:br/>
      </w:r>
      <w:r>
        <w:rPr>
          <w:rStyle w:val="Strong"/>
        </w:rPr>
        <w:t xml:space="preserve">By Christiane </w:t>
      </w:r>
      <w:proofErr w:type="spellStart"/>
      <w:r>
        <w:rPr>
          <w:rStyle w:val="Strong"/>
        </w:rPr>
        <w:t>Petrin</w:t>
      </w:r>
      <w:proofErr w:type="spellEnd"/>
      <w:r>
        <w:rPr>
          <w:rStyle w:val="Strong"/>
        </w:rPr>
        <w:t xml:space="preserve"> Lambert, MA, MSW, LICSW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3 P. 10</w:t>
      </w:r>
    </w:p>
    <w:p w14:paraId="49B0EEA3" w14:textId="77777777" w:rsidR="008D5691" w:rsidRDefault="008D5691" w:rsidP="008D5691">
      <w:pPr>
        <w:pStyle w:val="NormalWeb"/>
      </w:pPr>
      <w:r>
        <w:rPr>
          <w:rStyle w:val="Strong"/>
        </w:rPr>
        <w:t>References</w:t>
      </w:r>
      <w:r>
        <w:br/>
        <w:t xml:space="preserve">Association of Social Work Boards. (2015). Model regulatory standards for technology and social work practice: ASWB International Technology Task Force, 2013-2014. Retrieved from </w:t>
      </w:r>
      <w:hyperlink r:id="rId4" w:tgtFrame="_blank" w:history="1">
        <w:r>
          <w:rPr>
            <w:rStyle w:val="Hyperlink"/>
          </w:rPr>
          <w:t>https://www.aswb.org/wp-content/uploads/2015/03/ASWB-Model-Regulatory-Standards-for-Technology-and-Social-Work-Practice.pdf</w:t>
        </w:r>
      </w:hyperlink>
      <w:r>
        <w:t>.</w:t>
      </w:r>
    </w:p>
    <w:p w14:paraId="23BFCF30" w14:textId="77777777" w:rsidR="008D5691" w:rsidRDefault="008D5691" w:rsidP="008D5691">
      <w:pPr>
        <w:pStyle w:val="NormalWeb"/>
      </w:pPr>
      <w:r>
        <w:t xml:space="preserve">Council on Social Work Education. (2015). Educational policy and accreditation standards for baccalaureate and master’s social work programs. Retrieved from </w:t>
      </w:r>
      <w:hyperlink r:id="rId5" w:tgtFrame="_blank" w:history="1">
        <w:r>
          <w:rPr>
            <w:rStyle w:val="Hyperlink"/>
          </w:rPr>
          <w:t>https://www.cswe.org/getattachment/Accreditation/Standards-and-Policies/2015-EPAS/2015EPASandGlossary.pdf.aspx</w:t>
        </w:r>
      </w:hyperlink>
      <w:r>
        <w:t>.</w:t>
      </w:r>
    </w:p>
    <w:p w14:paraId="107C3477" w14:textId="77777777" w:rsidR="008D5691" w:rsidRDefault="008D5691" w:rsidP="008D5691">
      <w:pPr>
        <w:pStyle w:val="NormalWeb"/>
      </w:pPr>
      <w:proofErr w:type="spellStart"/>
      <w:r>
        <w:t>Maheu</w:t>
      </w:r>
      <w:proofErr w:type="spellEnd"/>
      <w:r>
        <w:t xml:space="preserve">, M. (2018). </w:t>
      </w:r>
      <w:proofErr w:type="spellStart"/>
      <w:r>
        <w:t>Telebehavioral</w:t>
      </w:r>
      <w:proofErr w:type="spellEnd"/>
      <w:r>
        <w:t xml:space="preserve"> Health Institute. Retrieved from </w:t>
      </w:r>
      <w:hyperlink r:id="rId6" w:tgtFrame="_blank" w:history="1">
        <w:r>
          <w:rPr>
            <w:rStyle w:val="Hyperlink"/>
          </w:rPr>
          <w:t>https://telehealth.org/</w:t>
        </w:r>
      </w:hyperlink>
      <w:r>
        <w:t>.</w:t>
      </w:r>
    </w:p>
    <w:p w14:paraId="07F56C69" w14:textId="77777777" w:rsidR="008D5691" w:rsidRDefault="008D5691" w:rsidP="008D5691">
      <w:pPr>
        <w:pStyle w:val="NormalWeb"/>
      </w:pPr>
      <w:proofErr w:type="spellStart"/>
      <w:r>
        <w:t>Maheu</w:t>
      </w:r>
      <w:proofErr w:type="spellEnd"/>
      <w:r>
        <w:t xml:space="preserve">, M. M., </w:t>
      </w:r>
      <w:proofErr w:type="spellStart"/>
      <w:r>
        <w:t>Drude</w:t>
      </w:r>
      <w:proofErr w:type="spellEnd"/>
      <w:r>
        <w:t xml:space="preserve">, K. P., </w:t>
      </w:r>
      <w:proofErr w:type="spellStart"/>
      <w:r>
        <w:t>Hertlein</w:t>
      </w:r>
      <w:proofErr w:type="spellEnd"/>
      <w:r>
        <w:t xml:space="preserve">, K. M., </w:t>
      </w:r>
      <w:proofErr w:type="spellStart"/>
      <w:r>
        <w:t>Lipschutz</w:t>
      </w:r>
      <w:proofErr w:type="spellEnd"/>
      <w:r>
        <w:t xml:space="preserve">, R., Wall, K., &amp; </w:t>
      </w:r>
      <w:proofErr w:type="spellStart"/>
      <w:r>
        <w:t>Hilty</w:t>
      </w:r>
      <w:proofErr w:type="spellEnd"/>
      <w:r>
        <w:t xml:space="preserve">, D. M. (2018). Correction to: An interprofessional framework for </w:t>
      </w:r>
      <w:proofErr w:type="spellStart"/>
      <w:r>
        <w:t>telebehavioral</w:t>
      </w:r>
      <w:proofErr w:type="spellEnd"/>
      <w:r>
        <w:t xml:space="preserve"> health competencies. </w:t>
      </w:r>
      <w:r>
        <w:rPr>
          <w:rStyle w:val="Emphasis"/>
          <w:b/>
          <w:bCs/>
        </w:rPr>
        <w:t>Journal of Technology in Behavioral Science</w:t>
      </w:r>
      <w:r>
        <w:t xml:space="preserve">, 3, 108-140. </w:t>
      </w:r>
    </w:p>
    <w:p w14:paraId="6D4CADF1" w14:textId="77777777" w:rsidR="008D5691" w:rsidRDefault="008D5691" w:rsidP="008D5691">
      <w:pPr>
        <w:pStyle w:val="NormalWeb"/>
      </w:pPr>
      <w:r>
        <w:t xml:space="preserve">National Association of Social Workers. (2017). Highlighted revisions to the Code of Ethics. Retrieved from </w:t>
      </w:r>
      <w:hyperlink r:id="rId7" w:tgtFrame="_blank" w:history="1">
        <w:r>
          <w:rPr>
            <w:rStyle w:val="Hyperlink"/>
          </w:rPr>
          <w:t>https://www.socialworkers.org/About/Ethics/Code-of-Ethics/Highlighted-Revisions-to-the-Code-of-Ethics</w:t>
        </w:r>
      </w:hyperlink>
      <w:r>
        <w:t>.</w:t>
      </w:r>
    </w:p>
    <w:p w14:paraId="31B9E06D" w14:textId="77777777" w:rsidR="008D5691" w:rsidRDefault="008D5691" w:rsidP="008D5691">
      <w:pPr>
        <w:pStyle w:val="NormalWeb"/>
      </w:pPr>
      <w:r>
        <w:t xml:space="preserve">National Association of Social Workers, Council on Social Work Education, Association of Social Work Boards, &amp; Clinical Social Work Association. (2017). NASW, ASWB, CSWE, &amp; CSWA standards for technology in social work practice. Retrieved from </w:t>
      </w:r>
      <w:hyperlink r:id="rId8" w:tgtFrame="_blank" w:history="1">
        <w:r>
          <w:rPr>
            <w:rStyle w:val="Hyperlink"/>
          </w:rPr>
          <w:t>https://www.socialworkers.org/LinkClick.aspx?fileticket=lcTcdsHUcng%3D&amp;portalid=0</w:t>
        </w:r>
      </w:hyperlink>
      <w:r>
        <w:t>.</w:t>
      </w:r>
    </w:p>
    <w:p w14:paraId="42E38266" w14:textId="77777777" w:rsidR="008D5691" w:rsidRDefault="008D5691" w:rsidP="008D5691">
      <w:pPr>
        <w:pStyle w:val="NormalWeb"/>
      </w:pPr>
      <w:r>
        <w:t xml:space="preserve">Reamer, F. G. (2013). Social work in a digital age: Ethical and risk management challenges. </w:t>
      </w:r>
      <w:r>
        <w:rPr>
          <w:rStyle w:val="Emphasis"/>
          <w:b/>
          <w:bCs/>
        </w:rPr>
        <w:t>Social Work</w:t>
      </w:r>
      <w:r>
        <w:t>, 58(2), 163-172.</w:t>
      </w:r>
    </w:p>
    <w:p w14:paraId="2D0E63DD" w14:textId="77777777" w:rsidR="008D5691" w:rsidRDefault="008D5691" w:rsidP="008D5691">
      <w:pPr>
        <w:pStyle w:val="NormalWeb"/>
      </w:pPr>
      <w:r>
        <w:t xml:space="preserve">Reamer, F. G. (2018). Ethical standards for social worker’s use of technology: Emerging consensus. </w:t>
      </w:r>
      <w:r>
        <w:rPr>
          <w:rStyle w:val="Emphasis"/>
          <w:b/>
          <w:bCs/>
        </w:rPr>
        <w:t>Journal of Social Work Values and Ethics</w:t>
      </w:r>
      <w:r>
        <w:t>, 15(2), 71-80.</w:t>
      </w:r>
    </w:p>
    <w:p w14:paraId="1C19E2D7" w14:textId="77777777" w:rsidR="008D5691" w:rsidRDefault="008D5691" w:rsidP="008D5691">
      <w:pPr>
        <w:pStyle w:val="NormalWeb"/>
      </w:pPr>
      <w:r>
        <w:t xml:space="preserve">Wilkerson, D. A., Wolfe-Taylor, S., &amp; Kinney, M. (in press). Adopting e-social practice: Pedagogies for student decision-making practice self-efficacy. </w:t>
      </w:r>
      <w:r>
        <w:rPr>
          <w:rStyle w:val="Emphasis"/>
          <w:b/>
          <w:bCs/>
        </w:rPr>
        <w:t>Journal of Social Work Education</w:t>
      </w:r>
      <w:r>
        <w:t>.</w:t>
      </w:r>
    </w:p>
    <w:p w14:paraId="1CDD25C9" w14:textId="28200582" w:rsidR="008D5691" w:rsidRDefault="008D5691" w:rsidP="008D5691">
      <w:pPr>
        <w:pStyle w:val="NormalWeb"/>
      </w:pPr>
    </w:p>
    <w:p w14:paraId="6044A739" w14:textId="02941D15" w:rsidR="008D5691" w:rsidRDefault="008D5691" w:rsidP="008D5691">
      <w:pPr>
        <w:pStyle w:val="NormalWeb"/>
        <w:rPr>
          <w:rStyle w:val="Strong"/>
        </w:rPr>
      </w:pPr>
      <w:r>
        <w:rPr>
          <w:rStyle w:val="Strong"/>
        </w:rPr>
        <w:lastRenderedPageBreak/>
        <w:t>Trauma and Betrayal — Complex Combination</w:t>
      </w:r>
      <w:r>
        <w:br/>
      </w:r>
      <w:r>
        <w:rPr>
          <w:rStyle w:val="Strong"/>
        </w:rPr>
        <w:t>By Scott Janssen, MSW, LCSW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3 P. 20</w:t>
      </w:r>
    </w:p>
    <w:p w14:paraId="62C01BB2" w14:textId="77777777" w:rsidR="008D5691" w:rsidRDefault="008D5691" w:rsidP="008D5691">
      <w:pPr>
        <w:pStyle w:val="NormalWeb"/>
      </w:pPr>
      <w:r>
        <w:rPr>
          <w:rStyle w:val="Strong"/>
        </w:rPr>
        <w:t>References</w:t>
      </w:r>
      <w:r>
        <w:br/>
        <w:t xml:space="preserve">Bride, B. (2007). Prevalence of secondary traumatic stress among social workers. </w:t>
      </w:r>
      <w:r>
        <w:rPr>
          <w:rStyle w:val="Emphasis"/>
          <w:b/>
          <w:bCs/>
        </w:rPr>
        <w:t>Social Work</w:t>
      </w:r>
      <w:r>
        <w:t xml:space="preserve">, 52(1), 63-70. </w:t>
      </w:r>
    </w:p>
    <w:p w14:paraId="7EF36502" w14:textId="77777777" w:rsidR="008D5691" w:rsidRDefault="008D5691" w:rsidP="008D5691">
      <w:pPr>
        <w:pStyle w:val="NormalWeb"/>
      </w:pPr>
      <w:r>
        <w:t xml:space="preserve">Brown, L., &amp; </w:t>
      </w:r>
      <w:proofErr w:type="spellStart"/>
      <w:r>
        <w:t>Freyd</w:t>
      </w:r>
      <w:proofErr w:type="spellEnd"/>
      <w:r>
        <w:t xml:space="preserve">, J. (2008, Winter). PTSD criterion and betrayal trauma: A modest proposal for a new look at what constitutes danger to self. </w:t>
      </w:r>
      <w:r>
        <w:rPr>
          <w:rStyle w:val="Emphasis"/>
          <w:b/>
          <w:bCs/>
        </w:rPr>
        <w:t>Trauma Psychology Newsletter</w:t>
      </w:r>
      <w:r>
        <w:t>, 11-15.</w:t>
      </w:r>
    </w:p>
    <w:p w14:paraId="5A770CC3" w14:textId="77777777" w:rsidR="008D5691" w:rsidRDefault="008D5691" w:rsidP="008D5691">
      <w:pPr>
        <w:pStyle w:val="NormalWeb"/>
      </w:pPr>
      <w:r>
        <w:t xml:space="preserve">Campbell, R., Wasco, S., Ahrens, C., </w:t>
      </w:r>
      <w:proofErr w:type="spellStart"/>
      <w:r>
        <w:t>Sefl</w:t>
      </w:r>
      <w:proofErr w:type="spellEnd"/>
      <w:r>
        <w:t xml:space="preserve">, T., &amp; Barnes, H. (2001). Preventing the “second rape”: Rape survivors’ experiences with community service providers. </w:t>
      </w:r>
      <w:r>
        <w:rPr>
          <w:rStyle w:val="Emphasis"/>
          <w:b/>
          <w:bCs/>
        </w:rPr>
        <w:t>Journal of Interpersonal Violence</w:t>
      </w:r>
      <w:r>
        <w:t>, 16(12), 1239-1259.</w:t>
      </w:r>
    </w:p>
    <w:p w14:paraId="24318B9A" w14:textId="77777777" w:rsidR="008D5691" w:rsidRDefault="008D5691" w:rsidP="008D5691">
      <w:pPr>
        <w:pStyle w:val="NormalWeb"/>
      </w:pPr>
      <w:r>
        <w:t xml:space="preserve">Centers for Disease Control and Prevention. (2018). National intimate partner and sexual violence survey: 2015 data brief — updated release. Retrieved from </w:t>
      </w:r>
      <w:hyperlink r:id="rId9" w:tgtFrame="_blank" w:history="1">
        <w:r>
          <w:rPr>
            <w:rStyle w:val="Hyperlink"/>
          </w:rPr>
          <w:t>https://www.cdc.gov/violenceprevention/pdf/2015data-brief508.pdf</w:t>
        </w:r>
      </w:hyperlink>
      <w:r>
        <w:t>.</w:t>
      </w:r>
    </w:p>
    <w:p w14:paraId="1BC568F7" w14:textId="77777777" w:rsidR="008D5691" w:rsidRDefault="008D5691" w:rsidP="008D5691">
      <w:pPr>
        <w:pStyle w:val="NormalWeb"/>
      </w:pPr>
      <w:proofErr w:type="spellStart"/>
      <w:r>
        <w:t>Charuvastra</w:t>
      </w:r>
      <w:proofErr w:type="spellEnd"/>
      <w:r>
        <w:t xml:space="preserve">, A., &amp; </w:t>
      </w:r>
      <w:proofErr w:type="spellStart"/>
      <w:r>
        <w:t>Cloitre</w:t>
      </w:r>
      <w:proofErr w:type="spellEnd"/>
      <w:r>
        <w:t xml:space="preserve">, M. (2008). Social bonds and posttraumatic stress disorder. </w:t>
      </w:r>
      <w:r>
        <w:rPr>
          <w:rStyle w:val="Emphasis"/>
          <w:b/>
          <w:bCs/>
        </w:rPr>
        <w:t>Annual Review of Psychology</w:t>
      </w:r>
      <w:r>
        <w:t xml:space="preserve">, 59(1), 301-328. </w:t>
      </w:r>
    </w:p>
    <w:p w14:paraId="7F589349" w14:textId="77777777" w:rsidR="008D5691" w:rsidRDefault="008D5691" w:rsidP="008D5691">
      <w:pPr>
        <w:pStyle w:val="NormalWeb"/>
      </w:pPr>
      <w:proofErr w:type="spellStart"/>
      <w:r>
        <w:t>DePrince</w:t>
      </w:r>
      <w:proofErr w:type="spellEnd"/>
      <w:r>
        <w:t xml:space="preserve">, A. P. (2001). Trauma and posttraumatic responses: An examination of fear and betrayal (Doctoral dissertation, University of Oregon, 2001) </w:t>
      </w:r>
      <w:r>
        <w:rPr>
          <w:rStyle w:val="Emphasis"/>
          <w:b/>
          <w:bCs/>
        </w:rPr>
        <w:t>Dissertation Abstracts International</w:t>
      </w:r>
      <w:r>
        <w:t>, 62(6-B), 2953.</w:t>
      </w:r>
    </w:p>
    <w:p w14:paraId="04174345" w14:textId="77777777" w:rsidR="008D5691" w:rsidRDefault="008D5691" w:rsidP="008D5691">
      <w:pPr>
        <w:pStyle w:val="NormalWeb"/>
      </w:pPr>
      <w:r>
        <w:t xml:space="preserve">Feldman, D., &amp; </w:t>
      </w:r>
      <w:proofErr w:type="spellStart"/>
      <w:r>
        <w:t>Periyakoil</w:t>
      </w:r>
      <w:proofErr w:type="spellEnd"/>
      <w:r>
        <w:t xml:space="preserve">, V. (2006). Posttraumatic stress disorder at the end of life. </w:t>
      </w:r>
      <w:r>
        <w:rPr>
          <w:rStyle w:val="Emphasis"/>
          <w:b/>
          <w:bCs/>
        </w:rPr>
        <w:t>Journal of Palliative Medicine</w:t>
      </w:r>
      <w:r>
        <w:t>, 9, 213-218.</w:t>
      </w:r>
    </w:p>
    <w:p w14:paraId="0B7C6957" w14:textId="77777777" w:rsidR="008D5691" w:rsidRDefault="008D5691" w:rsidP="008D5691">
      <w:pPr>
        <w:pStyle w:val="NormalWeb"/>
      </w:pPr>
      <w:proofErr w:type="spellStart"/>
      <w:r>
        <w:t>Freyd</w:t>
      </w:r>
      <w:proofErr w:type="spellEnd"/>
      <w:r>
        <w:t xml:space="preserve">, J. (1996). </w:t>
      </w:r>
      <w:r>
        <w:rPr>
          <w:rStyle w:val="Emphasis"/>
          <w:b/>
          <w:bCs/>
        </w:rPr>
        <w:t>Betrayal trauma: The logic of forgetting childhood abuse</w:t>
      </w:r>
      <w:r>
        <w:t>. Cambridge, MA: Harvard University Press.</w:t>
      </w:r>
    </w:p>
    <w:p w14:paraId="3EE1D5B8" w14:textId="77777777" w:rsidR="008D5691" w:rsidRDefault="008D5691" w:rsidP="008D5691">
      <w:pPr>
        <w:pStyle w:val="NormalWeb"/>
      </w:pPr>
      <w:proofErr w:type="spellStart"/>
      <w:r>
        <w:t>Freyd</w:t>
      </w:r>
      <w:proofErr w:type="spellEnd"/>
      <w:r>
        <w:t xml:space="preserve">, J., </w:t>
      </w:r>
      <w:proofErr w:type="spellStart"/>
      <w:r>
        <w:t>DePrince</w:t>
      </w:r>
      <w:proofErr w:type="spellEnd"/>
      <w:r>
        <w:t xml:space="preserve">, A., &amp; </w:t>
      </w:r>
      <w:proofErr w:type="spellStart"/>
      <w:r>
        <w:t>Gleaves</w:t>
      </w:r>
      <w:proofErr w:type="spellEnd"/>
      <w:r>
        <w:t xml:space="preserve">, D. (2007). The state of betrayal trauma theory: Reply to McNally — conceptual issues and future directions. </w:t>
      </w:r>
      <w:r>
        <w:rPr>
          <w:rStyle w:val="Emphasis"/>
          <w:b/>
          <w:bCs/>
        </w:rPr>
        <w:t>Memory</w:t>
      </w:r>
      <w:r>
        <w:t xml:space="preserve">, 15, 295–311. </w:t>
      </w:r>
    </w:p>
    <w:p w14:paraId="78D0C6A3" w14:textId="77777777" w:rsidR="008D5691" w:rsidRDefault="008D5691" w:rsidP="008D5691">
      <w:pPr>
        <w:pStyle w:val="NormalWeb"/>
      </w:pPr>
      <w:r>
        <w:t xml:space="preserve">Ganzel, B. (2018). Trauma-informed hospice and palliative care. </w:t>
      </w:r>
      <w:r>
        <w:rPr>
          <w:rStyle w:val="Emphasis"/>
          <w:b/>
          <w:bCs/>
        </w:rPr>
        <w:t>The Gerontologist</w:t>
      </w:r>
      <w:r>
        <w:t>, 58(3), 409-419.</w:t>
      </w:r>
    </w:p>
    <w:p w14:paraId="7C615066" w14:textId="77777777" w:rsidR="008D5691" w:rsidRDefault="008D5691" w:rsidP="008D5691">
      <w:pPr>
        <w:pStyle w:val="NormalWeb"/>
      </w:pPr>
      <w:r>
        <w:t xml:space="preserve">Goldsmith, R., </w:t>
      </w:r>
      <w:proofErr w:type="spellStart"/>
      <w:r>
        <w:t>Freyd</w:t>
      </w:r>
      <w:proofErr w:type="spellEnd"/>
      <w:r>
        <w:t xml:space="preserve">, J., &amp; </w:t>
      </w:r>
      <w:proofErr w:type="spellStart"/>
      <w:r>
        <w:t>DePrince</w:t>
      </w:r>
      <w:proofErr w:type="spellEnd"/>
      <w:r>
        <w:t xml:space="preserve">, A. (2012). Betrayal trauma: Associations with psychological and physical symptoms in young adults. </w:t>
      </w:r>
      <w:r>
        <w:rPr>
          <w:rStyle w:val="Emphasis"/>
          <w:b/>
          <w:bCs/>
        </w:rPr>
        <w:t>Journal of Interpersonal Violence</w:t>
      </w:r>
      <w:r>
        <w:t>, 27 (3), 547-567.</w:t>
      </w:r>
    </w:p>
    <w:p w14:paraId="3C565C8E" w14:textId="77777777" w:rsidR="008D5691" w:rsidRDefault="008D5691" w:rsidP="008D5691">
      <w:pPr>
        <w:pStyle w:val="NormalWeb"/>
      </w:pPr>
      <w:r>
        <w:t xml:space="preserve">Hall, M., &amp; Hall, S. (2016). </w:t>
      </w:r>
      <w:r>
        <w:rPr>
          <w:rStyle w:val="Emphasis"/>
          <w:b/>
          <w:bCs/>
        </w:rPr>
        <w:t>Managing the psychological impact of medical trauma</w:t>
      </w:r>
      <w:r>
        <w:t>. New York: Springer.</w:t>
      </w:r>
    </w:p>
    <w:p w14:paraId="58298508" w14:textId="77777777" w:rsidR="008D5691" w:rsidRDefault="008D5691" w:rsidP="008D5691">
      <w:pPr>
        <w:pStyle w:val="NormalWeb"/>
      </w:pPr>
      <w:r>
        <w:lastRenderedPageBreak/>
        <w:t xml:space="preserve">Jordan, A., Eisen, E., Bolton, E., Nash, W., &amp; </w:t>
      </w:r>
      <w:proofErr w:type="spellStart"/>
      <w:r>
        <w:t>Litz</w:t>
      </w:r>
      <w:proofErr w:type="spellEnd"/>
      <w:r>
        <w:t xml:space="preserve">, B. (2017). Distinguishing war-related PTSD resulting from perpetration- and betrayal-based morally injurious events. </w:t>
      </w:r>
      <w:r>
        <w:rPr>
          <w:rStyle w:val="Emphasis"/>
          <w:b/>
          <w:bCs/>
        </w:rPr>
        <w:t>Psychological Trauma</w:t>
      </w:r>
      <w:r>
        <w:t xml:space="preserve">, 9(6), 627-634. </w:t>
      </w:r>
    </w:p>
    <w:p w14:paraId="4BE16EC1" w14:textId="77777777" w:rsidR="008D5691" w:rsidRDefault="008D5691" w:rsidP="008D5691">
      <w:pPr>
        <w:pStyle w:val="NormalWeb"/>
      </w:pPr>
      <w:proofErr w:type="spellStart"/>
      <w:r>
        <w:t>Rachman</w:t>
      </w:r>
      <w:proofErr w:type="spellEnd"/>
      <w:r>
        <w:t xml:space="preserve">, S. (2010). Betrayal: A psychological analysis. </w:t>
      </w:r>
      <w:r>
        <w:rPr>
          <w:rStyle w:val="Emphasis"/>
          <w:b/>
          <w:bCs/>
        </w:rPr>
        <w:t>Behavior Research and Therapy</w:t>
      </w:r>
      <w:r>
        <w:t>, 48(4), 304-1.1</w:t>
      </w:r>
    </w:p>
    <w:p w14:paraId="2262BCB4" w14:textId="77777777" w:rsidR="008D5691" w:rsidRDefault="008D5691" w:rsidP="008D5691">
      <w:pPr>
        <w:pStyle w:val="NormalWeb"/>
      </w:pPr>
      <w:r>
        <w:t xml:space="preserve">Shay, J. (1994). </w:t>
      </w:r>
      <w:r>
        <w:rPr>
          <w:rStyle w:val="Emphasis"/>
          <w:b/>
          <w:bCs/>
        </w:rPr>
        <w:t>Achilles in America: Combat trauma and the undoing of character</w:t>
      </w:r>
      <w:r>
        <w:t xml:space="preserve">. New York: Scribner. </w:t>
      </w:r>
    </w:p>
    <w:p w14:paraId="40EE1005" w14:textId="77777777" w:rsidR="008D5691" w:rsidRDefault="008D5691" w:rsidP="008D5691">
      <w:pPr>
        <w:pStyle w:val="NormalWeb"/>
      </w:pPr>
      <w:r>
        <w:t xml:space="preserve">Smith, C. (2017). First, do no harm: Institutional betrayal and trust in health care organizations. </w:t>
      </w:r>
      <w:r>
        <w:rPr>
          <w:rStyle w:val="Emphasis"/>
          <w:b/>
          <w:bCs/>
        </w:rPr>
        <w:t>Journal of Multidisciplinary Healthcare</w:t>
      </w:r>
      <w:r>
        <w:t xml:space="preserve">, 10, 133-144. </w:t>
      </w:r>
    </w:p>
    <w:p w14:paraId="07E9665D" w14:textId="77777777" w:rsidR="008D5691" w:rsidRDefault="008D5691" w:rsidP="008D5691">
      <w:pPr>
        <w:pStyle w:val="NormalWeb"/>
      </w:pPr>
      <w:r>
        <w:t xml:space="preserve">Smith, C., &amp; </w:t>
      </w:r>
      <w:proofErr w:type="spellStart"/>
      <w:r>
        <w:t>Freyd</w:t>
      </w:r>
      <w:proofErr w:type="spellEnd"/>
      <w:r>
        <w:t xml:space="preserve">, J. (2013). Dangerous safe havens: Institutional betrayal exacerbates sexual trauma. </w:t>
      </w:r>
      <w:r>
        <w:rPr>
          <w:rStyle w:val="Emphasis"/>
          <w:b/>
          <w:bCs/>
        </w:rPr>
        <w:t>Journal of Traumatic Stress</w:t>
      </w:r>
      <w:r>
        <w:t>, 26(1), 119-124.</w:t>
      </w:r>
    </w:p>
    <w:p w14:paraId="072C55BF" w14:textId="2008A965" w:rsidR="008D5691" w:rsidRDefault="008D5691" w:rsidP="008D5691">
      <w:pPr>
        <w:pStyle w:val="NormalWeb"/>
      </w:pPr>
    </w:p>
    <w:p w14:paraId="07575698" w14:textId="284386CA" w:rsidR="008D5691" w:rsidRDefault="008D5691" w:rsidP="008D5691">
      <w:pPr>
        <w:pStyle w:val="NormalWeb"/>
        <w:rPr>
          <w:rStyle w:val="Strong"/>
        </w:rPr>
      </w:pPr>
      <w:r>
        <w:rPr>
          <w:rStyle w:val="Strong"/>
        </w:rPr>
        <w:t>Moving Toward Value-Based Care — What It Means for Social Work</w:t>
      </w:r>
      <w:r>
        <w:br/>
      </w:r>
      <w:r>
        <w:rPr>
          <w:rStyle w:val="Strong"/>
        </w:rPr>
        <w:t>By Sue Coyle, MSW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3 P. 24</w:t>
      </w:r>
    </w:p>
    <w:p w14:paraId="4196CC79" w14:textId="512F16AC" w:rsidR="008D5691" w:rsidRDefault="008D5691" w:rsidP="008D5691">
      <w:pPr>
        <w:pStyle w:val="NormalWeb"/>
        <w:rPr>
          <w:rStyle w:val="Strong"/>
        </w:rPr>
      </w:pPr>
    </w:p>
    <w:p w14:paraId="7C6D685A" w14:textId="77777777" w:rsidR="008D5691" w:rsidRDefault="008D5691" w:rsidP="008D5691">
      <w:pPr>
        <w:pStyle w:val="NormalWeb"/>
      </w:pPr>
      <w:r>
        <w:rPr>
          <w:rStyle w:val="Strong"/>
        </w:rPr>
        <w:t>References</w:t>
      </w:r>
      <w:r>
        <w:br/>
        <w:t xml:space="preserve">Healthy People 2020. (n.d.). Social determinants of health. Retrieved from </w:t>
      </w:r>
      <w:hyperlink r:id="rId10" w:tgtFrame="_blank" w:history="1">
        <w:r>
          <w:rPr>
            <w:rStyle w:val="Hyperlink"/>
          </w:rPr>
          <w:t>https://www.healthypeople.gov/2020/topics-objectives/topic/social-determinants-of-health</w:t>
        </w:r>
      </w:hyperlink>
      <w:r>
        <w:t>.</w:t>
      </w:r>
    </w:p>
    <w:p w14:paraId="0C4951CA" w14:textId="77777777" w:rsidR="008D5691" w:rsidRDefault="008D5691" w:rsidP="008D5691">
      <w:pPr>
        <w:pStyle w:val="NormalWeb"/>
      </w:pPr>
      <w:r>
        <w:t xml:space="preserve">Rama, A. (2017). Policy research perspectives: Payment and delivery in 2016: The prevalence of medical homes, accountable care organizations, and payment methods reported by physicians. Retrieved from </w:t>
      </w:r>
      <w:hyperlink r:id="rId11" w:tgtFrame="_blank" w:history="1">
        <w:r>
          <w:rPr>
            <w:rStyle w:val="Hyperlink"/>
          </w:rPr>
          <w:t>https://www.ama-assn.org/sites/ama-assn.org/files/corp/media-browser/public/health-policy/prp-medical-home-aco-payment.pdf</w:t>
        </w:r>
      </w:hyperlink>
      <w:r>
        <w:t>.</w:t>
      </w:r>
    </w:p>
    <w:p w14:paraId="1685A0B9" w14:textId="77777777" w:rsidR="008D5691" w:rsidRDefault="008D5691" w:rsidP="008D5691">
      <w:pPr>
        <w:pStyle w:val="NormalWeb"/>
      </w:pPr>
    </w:p>
    <w:sectPr w:rsidR="008D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3"/>
    <w:rsid w:val="000C4B76"/>
    <w:rsid w:val="006D79F7"/>
    <w:rsid w:val="008D5691"/>
    <w:rsid w:val="009B464B"/>
    <w:rsid w:val="00B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0DB4"/>
  <w15:chartTrackingRefBased/>
  <w15:docId w15:val="{34F0D848-B9A9-4FD6-8896-F9686F7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4A3"/>
    <w:rPr>
      <w:b/>
      <w:bCs/>
    </w:rPr>
  </w:style>
  <w:style w:type="character" w:styleId="Emphasis">
    <w:name w:val="Emphasis"/>
    <w:basedOn w:val="DefaultParagraphFont"/>
    <w:uiPriority w:val="20"/>
    <w:qFormat/>
    <w:rsid w:val="00BA44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orkers.org/LinkClick.aspx?fileticket=lcTcdsHUcng%3D&amp;portali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cialworkers.org/About/Ethics/Code-of-Ethics/Highlighted-Revisions-to-the-Code-of-Ethi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health.org/" TargetMode="External"/><Relationship Id="rId11" Type="http://schemas.openxmlformats.org/officeDocument/2006/relationships/hyperlink" Target="https://www.ama-assn.org/sites/ama-assn.org/files/corp/media-browser/public/health-policy/prp-medical-home-aco-payment.pdf" TargetMode="External"/><Relationship Id="rId5" Type="http://schemas.openxmlformats.org/officeDocument/2006/relationships/hyperlink" Target="https://www.cswe.org/getattachment/Accreditation/Standards-and-Policies/2015-EPAS/2015EPASandGlossary.pdf.aspx" TargetMode="External"/><Relationship Id="rId10" Type="http://schemas.openxmlformats.org/officeDocument/2006/relationships/hyperlink" Target="https://www.healthypeople.gov/2020/topics-objectives/topic/social-determinants-of-health" TargetMode="External"/><Relationship Id="rId4" Type="http://schemas.openxmlformats.org/officeDocument/2006/relationships/hyperlink" Target="https://www.aswb.org/wp-content/uploads/2015/03/ASWB-Model-Regulatory-Standards-for-Technology-and-Social-Work-Practice.pdf" TargetMode="External"/><Relationship Id="rId9" Type="http://schemas.openxmlformats.org/officeDocument/2006/relationships/hyperlink" Target="https://www.cdc.gov/violenceprevention/pdf/2015data-brief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4</cp:revision>
  <dcterms:created xsi:type="dcterms:W3CDTF">2020-04-24T13:33:00Z</dcterms:created>
  <dcterms:modified xsi:type="dcterms:W3CDTF">2020-04-24T16:34:00Z</dcterms:modified>
</cp:coreProperties>
</file>