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4CAC" w14:textId="3BC89314" w:rsidR="00BD6BBE" w:rsidRPr="007E0AB8" w:rsidRDefault="00BD6BBE" w:rsidP="004A05A5">
      <w:pPr>
        <w:pStyle w:val="Title"/>
        <w:rPr>
          <w:szCs w:val="24"/>
        </w:rPr>
      </w:pPr>
      <w:r w:rsidRPr="007E0AB8">
        <w:rPr>
          <w:szCs w:val="24"/>
        </w:rPr>
        <w:t>UNITED STATES</w:t>
      </w:r>
      <w:r w:rsidR="004A05A5">
        <w:rPr>
          <w:szCs w:val="24"/>
        </w:rPr>
        <w:t xml:space="preserve"> </w:t>
      </w:r>
      <w:r w:rsidRPr="007E0AB8">
        <w:rPr>
          <w:szCs w:val="24"/>
        </w:rPr>
        <w:t>SECURITIES AND EXCHANGE COMMISSION</w:t>
      </w:r>
    </w:p>
    <w:p w14:paraId="3DE428FE" w14:textId="7EECE4B7" w:rsidR="00BD6BBE" w:rsidRPr="00E63149" w:rsidRDefault="004A05A5" w:rsidP="00361F10">
      <w:pPr>
        <w:pStyle w:val="Subtitle"/>
        <w:jc w:val="center"/>
        <w:rPr>
          <w:b w:val="0"/>
          <w:bCs/>
          <w:sz w:val="22"/>
          <w:szCs w:val="22"/>
        </w:rPr>
      </w:pPr>
      <w:r w:rsidRPr="00E63149">
        <w:rPr>
          <w:b w:val="0"/>
          <w:bCs/>
          <w:sz w:val="22"/>
          <w:szCs w:val="22"/>
        </w:rPr>
        <w:t>Washington</w:t>
      </w:r>
      <w:r w:rsidR="00BD6BBE" w:rsidRPr="00E63149">
        <w:rPr>
          <w:b w:val="0"/>
          <w:bCs/>
          <w:sz w:val="22"/>
          <w:szCs w:val="22"/>
        </w:rPr>
        <w:t>, DC 20549</w:t>
      </w:r>
    </w:p>
    <w:p w14:paraId="24436CFC" w14:textId="1840CCF8" w:rsidR="00BD6BBE" w:rsidRPr="007E0AB8" w:rsidRDefault="0024386A" w:rsidP="00EB402A">
      <w:pPr>
        <w:pStyle w:val="Heading4"/>
        <w:rPr>
          <w:sz w:val="24"/>
          <w:szCs w:val="24"/>
        </w:rPr>
      </w:pPr>
      <w:r w:rsidRPr="007E0AB8">
        <w:rPr>
          <w:sz w:val="24"/>
          <w:szCs w:val="24"/>
        </w:rPr>
        <w:t>FORM 10-Q</w:t>
      </w:r>
    </w:p>
    <w:p w14:paraId="49B8C634" w14:textId="77777777" w:rsidR="00BD6BBE" w:rsidRDefault="00BD6BBE">
      <w:pPr>
        <w:tabs>
          <w:tab w:val="decimal" w:pos="9180"/>
        </w:tabs>
        <w:jc w:val="center"/>
        <w:rPr>
          <w:b/>
          <w:sz w:val="24"/>
        </w:rPr>
      </w:pPr>
    </w:p>
    <w:bookmarkStart w:id="0" w:name="Check2"/>
    <w:p w14:paraId="50989DBE" w14:textId="77777777" w:rsidR="00BD6BBE" w:rsidRPr="00F87A5B" w:rsidRDefault="000D7A76" w:rsidP="00F87A5B">
      <w:pPr>
        <w:ind w:left="720" w:hanging="720"/>
        <w:rPr>
          <w:b/>
          <w:sz w:val="24"/>
        </w:rPr>
      </w:pPr>
      <w:r>
        <w:rPr>
          <w:b/>
          <w:sz w:val="24"/>
        </w:rPr>
        <w:fldChar w:fldCharType="begin">
          <w:ffData>
            <w:name w:val="Check2"/>
            <w:enabled/>
            <w:calcOnExit w:val="0"/>
            <w:checkBox>
              <w:sizeAuto/>
              <w:default w:val="1"/>
            </w:checkBox>
          </w:ffData>
        </w:fldChar>
      </w:r>
      <w:r w:rsidR="00361F10">
        <w:rPr>
          <w:b/>
          <w:sz w:val="24"/>
        </w:rPr>
        <w:instrText xml:space="preserve"> FORMCHECKBOX </w:instrText>
      </w:r>
      <w:r w:rsidR="009D5D41">
        <w:rPr>
          <w:b/>
          <w:sz w:val="24"/>
        </w:rPr>
      </w:r>
      <w:r w:rsidR="009D5D41">
        <w:rPr>
          <w:b/>
          <w:sz w:val="24"/>
        </w:rPr>
        <w:fldChar w:fldCharType="separate"/>
      </w:r>
      <w:r>
        <w:rPr>
          <w:b/>
          <w:sz w:val="24"/>
        </w:rPr>
        <w:fldChar w:fldCharType="end"/>
      </w:r>
      <w:bookmarkEnd w:id="0"/>
      <w:r w:rsidR="00BD6BBE">
        <w:rPr>
          <w:b/>
          <w:sz w:val="24"/>
        </w:rPr>
        <w:tab/>
        <w:t>QUARTERLY REPORT PURSUANT TO SECTION 13 OR 15(d) OF THE SECURITIES EXCHANGE ACT OF 1934</w:t>
      </w:r>
    </w:p>
    <w:p w14:paraId="09E86E99" w14:textId="7570FA18" w:rsidR="00BD6BBE" w:rsidRPr="00F87A5B" w:rsidRDefault="00BD6BBE">
      <w:pPr>
        <w:tabs>
          <w:tab w:val="decimal" w:pos="9180"/>
        </w:tabs>
        <w:ind w:left="720" w:hanging="720"/>
        <w:rPr>
          <w:b/>
        </w:rPr>
      </w:pPr>
      <w:r w:rsidRPr="00F87A5B">
        <w:tab/>
        <w:t xml:space="preserve">For the quarterly period ended </w:t>
      </w:r>
      <w:r w:rsidR="002D363C">
        <w:t>September</w:t>
      </w:r>
      <w:r w:rsidR="00460775">
        <w:t xml:space="preserve"> 3</w:t>
      </w:r>
      <w:r w:rsidR="0034086E">
        <w:t>0</w:t>
      </w:r>
      <w:r w:rsidR="00482106">
        <w:t>,</w:t>
      </w:r>
      <w:r w:rsidR="00460775">
        <w:t xml:space="preserve"> 20</w:t>
      </w:r>
      <w:r w:rsidR="001F62EC">
        <w:t>2</w:t>
      </w:r>
      <w:r w:rsidR="008C326E">
        <w:t>2</w:t>
      </w:r>
    </w:p>
    <w:p w14:paraId="34E79EA0" w14:textId="77777777" w:rsidR="00BD6BBE" w:rsidRPr="00F87A5B" w:rsidRDefault="00BD6BBE" w:rsidP="00F87A5B">
      <w:pPr>
        <w:pStyle w:val="Heading7"/>
        <w:jc w:val="left"/>
        <w:rPr>
          <w:b/>
          <w:sz w:val="20"/>
        </w:rPr>
      </w:pPr>
      <w:r w:rsidRPr="00F87A5B">
        <w:rPr>
          <w:sz w:val="20"/>
        </w:rPr>
        <w:t>OR</w:t>
      </w:r>
    </w:p>
    <w:p w14:paraId="34BD3F0F" w14:textId="77777777" w:rsidR="00BD6BBE" w:rsidRPr="00F87A5B" w:rsidRDefault="000D7A76" w:rsidP="00F87A5B">
      <w:pPr>
        <w:ind w:left="720" w:hanging="720"/>
        <w:rPr>
          <w:b/>
          <w:sz w:val="24"/>
        </w:rPr>
      </w:pPr>
      <w:r>
        <w:rPr>
          <w:b/>
          <w:sz w:val="24"/>
        </w:rPr>
        <w:fldChar w:fldCharType="begin">
          <w:ffData>
            <w:name w:val="Check3"/>
            <w:enabled/>
            <w:calcOnExit w:val="0"/>
            <w:checkBox>
              <w:sizeAuto/>
              <w:default w:val="0"/>
            </w:checkBox>
          </w:ffData>
        </w:fldChar>
      </w:r>
      <w:bookmarkStart w:id="1" w:name="Check3"/>
      <w:r w:rsidR="00361F10">
        <w:rPr>
          <w:b/>
          <w:sz w:val="24"/>
        </w:rPr>
        <w:instrText xml:space="preserve"> FORMCHECKBOX </w:instrText>
      </w:r>
      <w:r w:rsidR="009D5D41">
        <w:rPr>
          <w:b/>
          <w:sz w:val="24"/>
        </w:rPr>
      </w:r>
      <w:r w:rsidR="009D5D41">
        <w:rPr>
          <w:b/>
          <w:sz w:val="24"/>
        </w:rPr>
        <w:fldChar w:fldCharType="separate"/>
      </w:r>
      <w:r>
        <w:rPr>
          <w:b/>
          <w:sz w:val="24"/>
        </w:rPr>
        <w:fldChar w:fldCharType="end"/>
      </w:r>
      <w:bookmarkEnd w:id="1"/>
      <w:r w:rsidR="00BD6BBE">
        <w:rPr>
          <w:b/>
          <w:sz w:val="24"/>
        </w:rPr>
        <w:tab/>
      </w:r>
      <w:r w:rsidR="00BD6BBE">
        <w:rPr>
          <w:b/>
          <w:caps/>
          <w:sz w:val="24"/>
        </w:rPr>
        <w:t>Transition Report Pursuant to Section 13 or 15(</w:t>
      </w:r>
      <w:r w:rsidR="00BD6BBE">
        <w:rPr>
          <w:b/>
          <w:sz w:val="24"/>
        </w:rPr>
        <w:t>d</w:t>
      </w:r>
      <w:r w:rsidR="00BD6BBE">
        <w:rPr>
          <w:b/>
          <w:caps/>
          <w:sz w:val="24"/>
        </w:rPr>
        <w:t>) of the Securities Exchange Act of 1934</w:t>
      </w:r>
    </w:p>
    <w:p w14:paraId="5B29019B" w14:textId="77777777" w:rsidR="00BD6BBE" w:rsidRPr="00F87A5B" w:rsidRDefault="00BD6BBE">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4F2F8B5F" w14:textId="77777777" w:rsidR="00BD6BBE" w:rsidRDefault="00BD6BBE">
      <w:pPr>
        <w:tabs>
          <w:tab w:val="decimal" w:pos="9180"/>
        </w:tabs>
        <w:rPr>
          <w:szCs w:val="22"/>
        </w:rPr>
      </w:pPr>
    </w:p>
    <w:p w14:paraId="6E02A336" w14:textId="110659FD" w:rsidR="00BD6BBE" w:rsidRDefault="0024386A" w:rsidP="00F87A5B">
      <w:pPr>
        <w:jc w:val="center"/>
        <w:rPr>
          <w:b/>
          <w:szCs w:val="22"/>
        </w:rPr>
      </w:pPr>
      <w:r>
        <w:rPr>
          <w:b/>
          <w:szCs w:val="22"/>
        </w:rPr>
        <w:t xml:space="preserve">Commission </w:t>
      </w:r>
      <w:r w:rsidR="00E63149">
        <w:rPr>
          <w:b/>
          <w:szCs w:val="22"/>
        </w:rPr>
        <w:t>F</w:t>
      </w:r>
      <w:r>
        <w:rPr>
          <w:b/>
          <w:szCs w:val="22"/>
        </w:rPr>
        <w:t xml:space="preserve">ile </w:t>
      </w:r>
      <w:r w:rsidR="00E63149">
        <w:rPr>
          <w:b/>
          <w:szCs w:val="22"/>
        </w:rPr>
        <w:t>N</w:t>
      </w:r>
      <w:r>
        <w:rPr>
          <w:b/>
          <w:szCs w:val="22"/>
        </w:rPr>
        <w:t>umber</w:t>
      </w:r>
      <w:r w:rsidR="00E63149">
        <w:rPr>
          <w:b/>
          <w:szCs w:val="22"/>
        </w:rPr>
        <w:t>:</w:t>
      </w:r>
      <w:r>
        <w:rPr>
          <w:b/>
          <w:szCs w:val="22"/>
        </w:rPr>
        <w:t xml:space="preserve"> 00</w:t>
      </w:r>
      <w:r w:rsidR="004A05A5">
        <w:rPr>
          <w:b/>
          <w:szCs w:val="22"/>
        </w:rPr>
        <w:t>1-39563</w:t>
      </w:r>
    </w:p>
    <w:p w14:paraId="763C3770" w14:textId="77777777" w:rsidR="00BD6BBE" w:rsidRDefault="00BD6BBE">
      <w:pPr>
        <w:tabs>
          <w:tab w:val="decimal" w:pos="9180"/>
        </w:tabs>
        <w:rPr>
          <w:szCs w:val="22"/>
        </w:rPr>
      </w:pPr>
    </w:p>
    <w:p w14:paraId="7F27C862" w14:textId="77777777" w:rsidR="00BD6BBE" w:rsidRPr="007E0AB8" w:rsidRDefault="0024386A">
      <w:pPr>
        <w:jc w:val="center"/>
        <w:rPr>
          <w:sz w:val="28"/>
          <w:szCs w:val="28"/>
        </w:rPr>
      </w:pPr>
      <w:r w:rsidRPr="007E0AB8">
        <w:rPr>
          <w:b/>
          <w:sz w:val="28"/>
          <w:szCs w:val="28"/>
        </w:rPr>
        <w:t>GEOVAX LABS</w:t>
      </w:r>
      <w:r w:rsidR="00BD6BBE" w:rsidRPr="007E0AB8">
        <w:rPr>
          <w:b/>
          <w:sz w:val="28"/>
          <w:szCs w:val="28"/>
        </w:rPr>
        <w:t>, INC.</w:t>
      </w:r>
    </w:p>
    <w:p w14:paraId="343F4BD1" w14:textId="73585ED3" w:rsidR="00BD6BBE" w:rsidRPr="00E63149" w:rsidRDefault="00BD6BBE">
      <w:pPr>
        <w:jc w:val="center"/>
        <w:rPr>
          <w:i/>
          <w:iCs/>
          <w:szCs w:val="22"/>
        </w:rPr>
      </w:pPr>
      <w:r w:rsidRPr="00E63149">
        <w:rPr>
          <w:i/>
          <w:iCs/>
          <w:szCs w:val="22"/>
        </w:rPr>
        <w:t xml:space="preserve">(Exact name of </w:t>
      </w:r>
      <w:r w:rsidR="00E63149">
        <w:rPr>
          <w:i/>
          <w:iCs/>
          <w:szCs w:val="22"/>
        </w:rPr>
        <w:t>r</w:t>
      </w:r>
      <w:r w:rsidRPr="00E63149">
        <w:rPr>
          <w:i/>
          <w:iCs/>
          <w:szCs w:val="22"/>
        </w:rPr>
        <w:t>egistrant as specified in its charter)</w:t>
      </w:r>
    </w:p>
    <w:p w14:paraId="7B4C6046" w14:textId="77777777" w:rsidR="00BD6BBE" w:rsidRDefault="00BD6BBE">
      <w:pPr>
        <w:tabs>
          <w:tab w:val="decimal" w:pos="9180"/>
        </w:tabs>
        <w:rPr>
          <w:szCs w:val="22"/>
        </w:rPr>
      </w:pPr>
    </w:p>
    <w:p w14:paraId="3C1644FB" w14:textId="77777777" w:rsidR="00BD6BBE" w:rsidRPr="0095123E" w:rsidRDefault="00BD6BBE" w:rsidP="00361F10">
      <w:pPr>
        <w:pStyle w:val="Heading5"/>
        <w:tabs>
          <w:tab w:val="clear" w:pos="3240"/>
          <w:tab w:val="clear" w:pos="7280"/>
          <w:tab w:val="clear" w:pos="9360"/>
          <w:tab w:val="center" w:pos="8100"/>
        </w:tabs>
        <w:rPr>
          <w:sz w:val="22"/>
          <w:szCs w:val="22"/>
        </w:rPr>
      </w:pPr>
      <w:r>
        <w:rPr>
          <w:sz w:val="22"/>
          <w:szCs w:val="22"/>
        </w:rPr>
        <w:tab/>
      </w:r>
      <w:r w:rsidR="00482106">
        <w:rPr>
          <w:b/>
          <w:sz w:val="22"/>
          <w:szCs w:val="22"/>
        </w:rPr>
        <w:t>Delaware</w:t>
      </w:r>
      <w:r>
        <w:rPr>
          <w:sz w:val="22"/>
          <w:szCs w:val="22"/>
        </w:rPr>
        <w:tab/>
      </w:r>
      <w:r w:rsidRPr="0095123E">
        <w:rPr>
          <w:b/>
          <w:sz w:val="22"/>
          <w:szCs w:val="22"/>
        </w:rPr>
        <w:t>8</w:t>
      </w:r>
      <w:r w:rsidR="0024386A" w:rsidRPr="0095123E">
        <w:rPr>
          <w:b/>
          <w:sz w:val="22"/>
          <w:szCs w:val="22"/>
        </w:rPr>
        <w:t>7-0455038</w:t>
      </w:r>
    </w:p>
    <w:p w14:paraId="3D612C39" w14:textId="2FD73AA4" w:rsidR="00BD6BBE" w:rsidRPr="00E63149" w:rsidRDefault="00BD6BBE">
      <w:pPr>
        <w:tabs>
          <w:tab w:val="center" w:pos="2160"/>
          <w:tab w:val="center" w:pos="8100"/>
        </w:tabs>
        <w:rPr>
          <w:i/>
          <w:iCs/>
        </w:rPr>
      </w:pPr>
      <w:r w:rsidRPr="00E63149">
        <w:rPr>
          <w:i/>
          <w:iCs/>
        </w:rPr>
        <w:tab/>
        <w:t>(State or other jurisdiction</w:t>
      </w:r>
      <w:r w:rsidRPr="00E63149">
        <w:rPr>
          <w:i/>
          <w:iCs/>
        </w:rPr>
        <w:tab/>
        <w:t>(IRS Employer Identification No.)</w:t>
      </w:r>
    </w:p>
    <w:p w14:paraId="53EA54C8" w14:textId="77777777" w:rsidR="00BD6BBE" w:rsidRPr="00E63149" w:rsidRDefault="00BD6BBE">
      <w:pPr>
        <w:tabs>
          <w:tab w:val="center" w:pos="2160"/>
          <w:tab w:val="decimal" w:pos="9180"/>
        </w:tabs>
        <w:rPr>
          <w:i/>
          <w:iCs/>
        </w:rPr>
      </w:pPr>
      <w:r w:rsidRPr="00E63149">
        <w:rPr>
          <w:i/>
          <w:iCs/>
        </w:rPr>
        <w:tab/>
        <w:t>of incorporation or organization)</w:t>
      </w:r>
    </w:p>
    <w:p w14:paraId="5FC360D5" w14:textId="77777777" w:rsidR="00BD6BBE" w:rsidRDefault="00BD6BBE">
      <w:pPr>
        <w:pStyle w:val="Footer"/>
        <w:tabs>
          <w:tab w:val="clear" w:pos="4320"/>
          <w:tab w:val="clear" w:pos="8640"/>
          <w:tab w:val="decimal" w:pos="9180"/>
        </w:tabs>
        <w:rPr>
          <w:rFonts w:ascii="Times New Roman" w:hAnsi="Times New Roman"/>
          <w:noProof/>
          <w:sz w:val="22"/>
          <w:szCs w:val="22"/>
        </w:rPr>
      </w:pPr>
    </w:p>
    <w:p w14:paraId="6566C5F6" w14:textId="378BD005" w:rsidR="00BD6BBE" w:rsidRDefault="00BD6BBE">
      <w:pPr>
        <w:pStyle w:val="Heading5"/>
        <w:rPr>
          <w:b/>
          <w:sz w:val="22"/>
          <w:szCs w:val="22"/>
        </w:rPr>
      </w:pPr>
      <w:r>
        <w:rPr>
          <w:b/>
          <w:sz w:val="22"/>
          <w:szCs w:val="22"/>
        </w:rPr>
        <w:tab/>
      </w:r>
      <w:r w:rsidR="00BB4A62">
        <w:rPr>
          <w:b/>
          <w:sz w:val="22"/>
          <w:szCs w:val="22"/>
        </w:rPr>
        <w:t>1900 Lake Park Drive</w:t>
      </w:r>
      <w:r w:rsidR="007E0AB8">
        <w:rPr>
          <w:b/>
          <w:sz w:val="22"/>
          <w:szCs w:val="22"/>
        </w:rPr>
        <w:t>, Suite 380</w:t>
      </w:r>
    </w:p>
    <w:p w14:paraId="56616010" w14:textId="77777777" w:rsidR="00BD6BBE" w:rsidRDefault="00BD6BBE" w:rsidP="00361F10">
      <w:pPr>
        <w:pStyle w:val="Heading5"/>
        <w:tabs>
          <w:tab w:val="clear" w:pos="3240"/>
          <w:tab w:val="clear" w:pos="7280"/>
          <w:tab w:val="clear" w:pos="9360"/>
          <w:tab w:val="center" w:pos="8100"/>
        </w:tabs>
        <w:rPr>
          <w:b/>
          <w:sz w:val="22"/>
          <w:szCs w:val="22"/>
        </w:rPr>
      </w:pPr>
      <w:r>
        <w:rPr>
          <w:b/>
          <w:sz w:val="22"/>
          <w:szCs w:val="22"/>
        </w:rPr>
        <w:tab/>
      </w:r>
      <w:r w:rsidR="00BB4A62">
        <w:rPr>
          <w:b/>
          <w:sz w:val="22"/>
          <w:szCs w:val="22"/>
        </w:rPr>
        <w:t>Smyrna, Georgia</w:t>
      </w:r>
      <w:r w:rsidR="00BB4A62">
        <w:rPr>
          <w:b/>
          <w:sz w:val="22"/>
          <w:szCs w:val="22"/>
        </w:rPr>
        <w:tab/>
        <w:t>30080</w:t>
      </w:r>
    </w:p>
    <w:p w14:paraId="70AF1E4D" w14:textId="77777777" w:rsidR="00BD6BBE" w:rsidRPr="00E63149" w:rsidRDefault="00BD6BBE">
      <w:pPr>
        <w:tabs>
          <w:tab w:val="center" w:pos="2160"/>
          <w:tab w:val="center" w:pos="8100"/>
        </w:tabs>
        <w:rPr>
          <w:i/>
          <w:iCs/>
        </w:rPr>
      </w:pPr>
      <w:r w:rsidRPr="00E63149">
        <w:rPr>
          <w:i/>
          <w:iCs/>
        </w:rPr>
        <w:tab/>
        <w:t>(Address of principal executive offices)</w:t>
      </w:r>
      <w:r w:rsidRPr="00E63149">
        <w:rPr>
          <w:i/>
          <w:iCs/>
        </w:rPr>
        <w:tab/>
        <w:t>(Zip Code)</w:t>
      </w:r>
    </w:p>
    <w:p w14:paraId="092A5DAC" w14:textId="77777777" w:rsidR="00BD6BBE" w:rsidRDefault="00BD6BBE">
      <w:pPr>
        <w:pStyle w:val="Footer"/>
        <w:tabs>
          <w:tab w:val="clear" w:pos="4320"/>
          <w:tab w:val="clear" w:pos="8640"/>
        </w:tabs>
        <w:rPr>
          <w:rFonts w:ascii="Times New Roman" w:hAnsi="Times New Roman"/>
          <w:noProof/>
          <w:sz w:val="22"/>
          <w:szCs w:val="22"/>
        </w:rPr>
      </w:pPr>
    </w:p>
    <w:p w14:paraId="39583FF7" w14:textId="77777777" w:rsidR="006816F3" w:rsidRPr="006816F3" w:rsidRDefault="002B1A30">
      <w:pPr>
        <w:pStyle w:val="Heading5"/>
        <w:tabs>
          <w:tab w:val="clear" w:pos="2160"/>
          <w:tab w:val="clear" w:pos="7280"/>
          <w:tab w:val="clear" w:pos="9360"/>
        </w:tabs>
        <w:jc w:val="center"/>
        <w:rPr>
          <w:b/>
          <w:sz w:val="22"/>
          <w:szCs w:val="22"/>
        </w:rPr>
      </w:pPr>
      <w:r w:rsidRPr="002B1A30">
        <w:rPr>
          <w:b/>
          <w:sz w:val="22"/>
          <w:szCs w:val="22"/>
        </w:rPr>
        <w:t>(678) 384-7220</w:t>
      </w:r>
    </w:p>
    <w:p w14:paraId="099AAE37" w14:textId="77777777" w:rsidR="00BD6BBE" w:rsidRPr="00E63149" w:rsidRDefault="006816F3">
      <w:pPr>
        <w:pStyle w:val="Heading5"/>
        <w:tabs>
          <w:tab w:val="clear" w:pos="2160"/>
          <w:tab w:val="clear" w:pos="7280"/>
          <w:tab w:val="clear" w:pos="9360"/>
        </w:tabs>
        <w:jc w:val="center"/>
        <w:rPr>
          <w:i/>
          <w:iCs/>
          <w:sz w:val="20"/>
        </w:rPr>
      </w:pPr>
      <w:r w:rsidRPr="00E63149">
        <w:rPr>
          <w:i/>
          <w:iCs/>
          <w:sz w:val="20"/>
        </w:rPr>
        <w:t>(</w:t>
      </w:r>
      <w:r w:rsidR="00BD6BBE" w:rsidRPr="00E63149">
        <w:rPr>
          <w:i/>
          <w:iCs/>
          <w:sz w:val="20"/>
        </w:rPr>
        <w:t>Registrant</w:t>
      </w:r>
      <w:r w:rsidR="00B44A4C" w:rsidRPr="00E63149">
        <w:rPr>
          <w:i/>
          <w:iCs/>
          <w:sz w:val="20"/>
        </w:rPr>
        <w:t>’</w:t>
      </w:r>
      <w:r w:rsidR="00BD6BBE" w:rsidRPr="00E63149">
        <w:rPr>
          <w:i/>
          <w:iCs/>
          <w:sz w:val="20"/>
        </w:rPr>
        <w:t>s telephone number, including area code</w:t>
      </w:r>
      <w:r w:rsidRPr="00E63149">
        <w:rPr>
          <w:b/>
          <w:i/>
          <w:iCs/>
          <w:sz w:val="20"/>
        </w:rPr>
        <w:t>)</w:t>
      </w:r>
    </w:p>
    <w:p w14:paraId="0E1A3266" w14:textId="42EFD0B4" w:rsidR="00BD6BBE" w:rsidRDefault="00BD6BBE">
      <w:pPr>
        <w:tabs>
          <w:tab w:val="decimal" w:pos="9180"/>
        </w:tabs>
        <w:jc w:val="both"/>
        <w:rPr>
          <w:szCs w:val="22"/>
        </w:rPr>
      </w:pPr>
    </w:p>
    <w:p w14:paraId="13FC9C97" w14:textId="092051DB" w:rsidR="004A05A5" w:rsidRPr="001F62EC" w:rsidRDefault="001F62EC" w:rsidP="00E63149">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4A05A5" w:rsidRPr="004A05A5" w14:paraId="782E8EFB" w14:textId="77777777" w:rsidTr="004A05A5">
        <w:tc>
          <w:tcPr>
            <w:tcW w:w="3330" w:type="dxa"/>
          </w:tcPr>
          <w:p w14:paraId="47626B38" w14:textId="77777777" w:rsidR="004A05A5" w:rsidRPr="004A05A5" w:rsidRDefault="004A05A5" w:rsidP="004A05A5">
            <w:pPr>
              <w:jc w:val="center"/>
              <w:outlineLvl w:val="0"/>
              <w:rPr>
                <w:u w:val="single"/>
              </w:rPr>
            </w:pPr>
            <w:r w:rsidRPr="004A05A5">
              <w:rPr>
                <w:u w:val="single"/>
              </w:rPr>
              <w:t>Title of each Class</w:t>
            </w:r>
          </w:p>
        </w:tc>
        <w:tc>
          <w:tcPr>
            <w:tcW w:w="2610" w:type="dxa"/>
          </w:tcPr>
          <w:p w14:paraId="25B825F4" w14:textId="77777777" w:rsidR="004A05A5" w:rsidRPr="004A05A5" w:rsidRDefault="004A05A5" w:rsidP="004A05A5">
            <w:pPr>
              <w:jc w:val="center"/>
              <w:outlineLvl w:val="0"/>
              <w:rPr>
                <w:u w:val="single"/>
              </w:rPr>
            </w:pPr>
            <w:r w:rsidRPr="004A05A5">
              <w:rPr>
                <w:u w:val="single"/>
              </w:rPr>
              <w:t>Trading Symbol</w:t>
            </w:r>
          </w:p>
        </w:tc>
        <w:tc>
          <w:tcPr>
            <w:tcW w:w="4050" w:type="dxa"/>
          </w:tcPr>
          <w:p w14:paraId="2494B69E" w14:textId="77777777" w:rsidR="004A05A5" w:rsidRPr="004A05A5" w:rsidRDefault="004A05A5" w:rsidP="004A05A5">
            <w:pPr>
              <w:jc w:val="center"/>
              <w:outlineLvl w:val="0"/>
              <w:rPr>
                <w:u w:val="single"/>
              </w:rPr>
            </w:pPr>
            <w:r w:rsidRPr="004A05A5">
              <w:rPr>
                <w:u w:val="single"/>
              </w:rPr>
              <w:t>Name of each Exchange on which Registered</w:t>
            </w:r>
          </w:p>
        </w:tc>
      </w:tr>
      <w:tr w:rsidR="004A05A5" w:rsidRPr="004A05A5" w14:paraId="3EB14DCC" w14:textId="77777777" w:rsidTr="004A05A5">
        <w:tc>
          <w:tcPr>
            <w:tcW w:w="3330" w:type="dxa"/>
          </w:tcPr>
          <w:p w14:paraId="2D302D3E" w14:textId="77777777" w:rsidR="004A05A5" w:rsidRPr="004A05A5" w:rsidRDefault="004A05A5" w:rsidP="004A05A5">
            <w:pPr>
              <w:jc w:val="center"/>
              <w:outlineLvl w:val="0"/>
            </w:pPr>
            <w:r w:rsidRPr="004A05A5">
              <w:rPr>
                <w:rFonts w:ascii="CG Times (WN)" w:hAnsi="CG Times (WN)"/>
                <w:bCs/>
              </w:rPr>
              <w:t>Common Stock $0.001 par value</w:t>
            </w:r>
          </w:p>
        </w:tc>
        <w:tc>
          <w:tcPr>
            <w:tcW w:w="2610" w:type="dxa"/>
          </w:tcPr>
          <w:p w14:paraId="2C447951" w14:textId="77777777" w:rsidR="004A05A5" w:rsidRPr="004A05A5" w:rsidRDefault="004A05A5" w:rsidP="004A05A5">
            <w:pPr>
              <w:jc w:val="center"/>
              <w:outlineLvl w:val="0"/>
            </w:pPr>
            <w:r w:rsidRPr="004A05A5">
              <w:t>GOVX</w:t>
            </w:r>
          </w:p>
        </w:tc>
        <w:tc>
          <w:tcPr>
            <w:tcW w:w="4050" w:type="dxa"/>
          </w:tcPr>
          <w:p w14:paraId="59EEF170" w14:textId="77777777" w:rsidR="004A05A5" w:rsidRPr="004A05A5" w:rsidRDefault="004A05A5" w:rsidP="004A05A5">
            <w:pPr>
              <w:jc w:val="center"/>
              <w:outlineLvl w:val="0"/>
            </w:pPr>
            <w:r w:rsidRPr="004A05A5">
              <w:t xml:space="preserve">The Nasdaq Capital Market </w:t>
            </w:r>
          </w:p>
        </w:tc>
      </w:tr>
      <w:tr w:rsidR="004A05A5" w:rsidRPr="004A05A5" w14:paraId="6B4F4DFC" w14:textId="77777777" w:rsidTr="004A05A5">
        <w:tc>
          <w:tcPr>
            <w:tcW w:w="3330" w:type="dxa"/>
          </w:tcPr>
          <w:p w14:paraId="33026B78" w14:textId="77777777" w:rsidR="004A05A5" w:rsidRPr="004A05A5" w:rsidRDefault="004A05A5" w:rsidP="004A05A5">
            <w:pPr>
              <w:jc w:val="center"/>
              <w:outlineLvl w:val="0"/>
            </w:pPr>
            <w:r w:rsidRPr="004A05A5">
              <w:t>Warrants to Purchase Common Stock</w:t>
            </w:r>
          </w:p>
        </w:tc>
        <w:tc>
          <w:tcPr>
            <w:tcW w:w="2610" w:type="dxa"/>
          </w:tcPr>
          <w:p w14:paraId="7EE1A4B2" w14:textId="77777777" w:rsidR="004A05A5" w:rsidRPr="004A05A5" w:rsidRDefault="004A05A5" w:rsidP="004A05A5">
            <w:pPr>
              <w:jc w:val="center"/>
              <w:outlineLvl w:val="0"/>
            </w:pPr>
            <w:r w:rsidRPr="004A05A5">
              <w:t>GOVXW</w:t>
            </w:r>
          </w:p>
        </w:tc>
        <w:tc>
          <w:tcPr>
            <w:tcW w:w="4050" w:type="dxa"/>
          </w:tcPr>
          <w:p w14:paraId="31783328" w14:textId="77777777" w:rsidR="004A05A5" w:rsidRPr="004A05A5" w:rsidRDefault="004A05A5" w:rsidP="004A05A5">
            <w:pPr>
              <w:jc w:val="center"/>
              <w:outlineLvl w:val="0"/>
            </w:pPr>
            <w:r w:rsidRPr="004A05A5">
              <w:t xml:space="preserve">The Nasdaq Capital Market </w:t>
            </w:r>
          </w:p>
        </w:tc>
      </w:tr>
    </w:tbl>
    <w:p w14:paraId="6E9F7B85" w14:textId="77777777" w:rsidR="004A05A5" w:rsidRDefault="004A05A5">
      <w:pPr>
        <w:tabs>
          <w:tab w:val="decimal" w:pos="9180"/>
        </w:tabs>
        <w:jc w:val="both"/>
      </w:pPr>
    </w:p>
    <w:p w14:paraId="54F24CC6" w14:textId="5067D41B" w:rsidR="0024386A" w:rsidRPr="00F87A5B" w:rsidRDefault="00BD6BBE">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rsidR="00F87A5B">
        <w:t>nts for the past 90 days.    Yes</w:t>
      </w:r>
      <w:r w:rsidR="00386021">
        <w:t xml:space="preserve"> </w:t>
      </w:r>
      <w:bookmarkStart w:id="2" w:name="Check4"/>
      <w:r w:rsidR="000D7A76">
        <w:fldChar w:fldCharType="begin">
          <w:ffData>
            <w:name w:val="Check4"/>
            <w:enabled/>
            <w:calcOnExit w:val="0"/>
            <w:checkBox>
              <w:sizeAuto/>
              <w:default w:val="1"/>
            </w:checkBox>
          </w:ffData>
        </w:fldChar>
      </w:r>
      <w:r w:rsidR="00361F10">
        <w:instrText xml:space="preserve"> FORMCHECKBOX </w:instrText>
      </w:r>
      <w:r w:rsidR="009D5D41">
        <w:fldChar w:fldCharType="separate"/>
      </w:r>
      <w:r w:rsidR="000D7A76">
        <w:fldChar w:fldCharType="end"/>
      </w:r>
      <w:bookmarkEnd w:id="2"/>
      <w:r w:rsidRPr="00F87A5B">
        <w:t xml:space="preserve"> </w:t>
      </w:r>
      <w:r w:rsidR="00F87A5B">
        <w:t xml:space="preserve">   No </w:t>
      </w:r>
      <w:r w:rsidR="000D7A76">
        <w:fldChar w:fldCharType="begin">
          <w:ffData>
            <w:name w:val="Check5"/>
            <w:enabled/>
            <w:calcOnExit w:val="0"/>
            <w:checkBox>
              <w:sizeAuto/>
              <w:default w:val="0"/>
            </w:checkBox>
          </w:ffData>
        </w:fldChar>
      </w:r>
      <w:bookmarkStart w:id="3" w:name="Check5"/>
      <w:r w:rsidR="00361F10">
        <w:instrText xml:space="preserve"> FORMCHECKBOX </w:instrText>
      </w:r>
      <w:r w:rsidR="009D5D41">
        <w:fldChar w:fldCharType="separate"/>
      </w:r>
      <w:r w:rsidR="000D7A76">
        <w:fldChar w:fldCharType="end"/>
      </w:r>
      <w:bookmarkEnd w:id="3"/>
    </w:p>
    <w:p w14:paraId="6E78267D" w14:textId="77777777" w:rsidR="004E11CB" w:rsidRDefault="004E11CB" w:rsidP="004E11CB">
      <w:pPr>
        <w:tabs>
          <w:tab w:val="decimal" w:pos="9180"/>
        </w:tabs>
        <w:jc w:val="both"/>
      </w:pPr>
    </w:p>
    <w:p w14:paraId="32E8EF75" w14:textId="3FB34F3F" w:rsidR="006F7401" w:rsidRDefault="006F7401" w:rsidP="006F7401">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rsidR="009D5D41">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rsidR="009D5D41">
        <w:fldChar w:fldCharType="separate"/>
      </w:r>
      <w:r>
        <w:fldChar w:fldCharType="end"/>
      </w:r>
    </w:p>
    <w:p w14:paraId="716490BC" w14:textId="77777777" w:rsidR="00333843" w:rsidRDefault="00333843" w:rsidP="004E11CB">
      <w:pPr>
        <w:tabs>
          <w:tab w:val="decimal" w:pos="9180"/>
        </w:tabs>
        <w:jc w:val="both"/>
      </w:pPr>
    </w:p>
    <w:p w14:paraId="4858F151" w14:textId="288CC66E" w:rsidR="00EB402A" w:rsidRDefault="00EB402A" w:rsidP="005373B5">
      <w:pPr>
        <w:ind w:right="-36"/>
        <w:jc w:val="both"/>
      </w:pPr>
      <w:r>
        <w:t>Indicate by check mark whether the registrant is a large accelerated filer, an accelerated filer, a non</w:t>
      </w:r>
      <w:r>
        <w:noBreakHyphen/>
        <w:t>accelerated filer, smaller reporting company, or an emerging growth company.  See the definitions of “large accelerated filer,” “accelerated filer,” “smaller reporting company,” and “emerging growth company” in Rule 12b-2 of the Exchange Act.</w:t>
      </w:r>
    </w:p>
    <w:p w14:paraId="172E8805" w14:textId="77777777" w:rsidR="00EB402A" w:rsidRDefault="00EB402A" w:rsidP="00EB402A">
      <w:pPr>
        <w:ind w:right="-36" w:firstLine="720"/>
        <w:jc w:val="both"/>
        <w:rPr>
          <w:rFonts w:ascii="Wingdings" w:hAnsi="Wingdings" w:cs="Wingdings"/>
          <w:color w:val="000000"/>
          <w:sz w:val="18"/>
          <w:szCs w:val="18"/>
        </w:rPr>
      </w:pPr>
      <w:r w:rsidRPr="0072585E">
        <w:rPr>
          <w:color w:val="000000"/>
        </w:rPr>
        <w:t>Large accelerated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24E841" w14:textId="368693EB" w:rsidR="00EB402A" w:rsidRDefault="00EB402A" w:rsidP="00EB402A">
      <w:pPr>
        <w:ind w:right="-36" w:firstLine="720"/>
        <w:jc w:val="both"/>
        <w:rPr>
          <w:color w:val="000000"/>
        </w:rPr>
      </w:pPr>
      <w:r>
        <w:rPr>
          <w:color w:val="000000"/>
        </w:rPr>
        <w:t>Non-</w:t>
      </w:r>
      <w:r w:rsidRPr="0072585E">
        <w:rPr>
          <w:color w:val="000000"/>
        </w:rPr>
        <w:t>accelerated filer</w:t>
      </w:r>
      <w:r>
        <w:rPr>
          <w:color w:val="000000"/>
        </w:rPr>
        <w:tab/>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bookmarkStart w:id="4" w:name="Check1"/>
      <w:r w:rsidR="004A05A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bookmarkEnd w:id="4"/>
      <w:r>
        <w:rPr>
          <w:rFonts w:ascii="Wingdings" w:hAnsi="Wingdings" w:cs="Wingdings"/>
          <w:color w:val="000000"/>
          <w:sz w:val="18"/>
          <w:szCs w:val="18"/>
        </w:rPr>
        <w:tab/>
      </w:r>
      <w:r>
        <w:rPr>
          <w:rFonts w:ascii="Wingdings" w:hAnsi="Wingdings" w:cs="Wingdings"/>
          <w:color w:val="000000"/>
          <w:sz w:val="18"/>
          <w:szCs w:val="18"/>
        </w:rPr>
        <w:tab/>
      </w:r>
      <w:r w:rsidR="006F7401">
        <w:rPr>
          <w:color w:val="000000"/>
        </w:rPr>
        <w:t>Emerging growth company</w:t>
      </w:r>
      <w:r w:rsidR="006F7401">
        <w:rPr>
          <w:color w:val="000000"/>
        </w:rPr>
        <w:tab/>
      </w:r>
      <w:r w:rsidR="006F7401" w:rsidRPr="001C3695">
        <w:rPr>
          <w:rFonts w:ascii="Wingdings" w:hAnsi="Wingdings" w:cs="Wingdings"/>
          <w:color w:val="000000"/>
          <w:sz w:val="18"/>
          <w:szCs w:val="18"/>
        </w:rPr>
        <w:fldChar w:fldCharType="begin">
          <w:ffData>
            <w:name w:val="Check1"/>
            <w:enabled/>
            <w:calcOnExit w:val="0"/>
            <w:checkBox>
              <w:sizeAuto/>
              <w:default w:val="0"/>
            </w:checkBox>
          </w:ffData>
        </w:fldChar>
      </w:r>
      <w:r w:rsidR="006F7401" w:rsidRP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006F7401" w:rsidRPr="001C3695">
        <w:rPr>
          <w:rFonts w:ascii="Wingdings" w:hAnsi="Wingdings" w:cs="Wingdings"/>
          <w:color w:val="000000"/>
          <w:sz w:val="18"/>
          <w:szCs w:val="18"/>
        </w:rPr>
        <w:fldChar w:fldCharType="end"/>
      </w:r>
    </w:p>
    <w:p w14:paraId="75EEE78B" w14:textId="0CB00A08" w:rsidR="00EB402A" w:rsidRDefault="00EB402A" w:rsidP="00EB402A">
      <w:pPr>
        <w:ind w:right="-36" w:firstLine="720"/>
        <w:jc w:val="both"/>
        <w:rPr>
          <w:rFonts w:ascii="Wingdings" w:hAnsi="Wingdings" w:cs="Wingdings"/>
          <w:color w:val="000000"/>
          <w:sz w:val="18"/>
          <w:szCs w:val="18"/>
        </w:rPr>
      </w:pPr>
      <w:r>
        <w:rPr>
          <w:color w:val="000000"/>
        </w:rPr>
        <w:t>Smaller reporting company</w:t>
      </w:r>
      <w:r>
        <w:rPr>
          <w:color w:val="000000"/>
        </w:rPr>
        <w:tab/>
      </w:r>
      <w:r w:rsidR="004A05A5">
        <w:rPr>
          <w:rFonts w:ascii="Wingdings" w:hAnsi="Wingdings" w:cs="Wingdings"/>
          <w:color w:val="000000"/>
          <w:sz w:val="18"/>
          <w:szCs w:val="18"/>
        </w:rPr>
        <w:fldChar w:fldCharType="begin">
          <w:ffData>
            <w:name w:val="Check1"/>
            <w:enabled/>
            <w:calcOnExit w:val="0"/>
            <w:checkBox>
              <w:sizeAuto/>
              <w:default w:val="1"/>
            </w:checkBox>
          </w:ffData>
        </w:fldChar>
      </w:r>
      <w:r w:rsidR="004A05A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004A05A5">
        <w:rPr>
          <w:rFonts w:ascii="Wingdings" w:hAnsi="Wingdings" w:cs="Wingdings"/>
          <w:color w:val="000000"/>
          <w:sz w:val="18"/>
          <w:szCs w:val="18"/>
        </w:rPr>
        <w:fldChar w:fldCharType="end"/>
      </w:r>
    </w:p>
    <w:p w14:paraId="6935A8EB" w14:textId="77777777" w:rsidR="00EB402A" w:rsidRDefault="00EB402A" w:rsidP="00EB402A">
      <w:pPr>
        <w:tabs>
          <w:tab w:val="center" w:pos="2160"/>
          <w:tab w:val="center" w:pos="5040"/>
          <w:tab w:val="center" w:pos="7920"/>
        </w:tabs>
        <w:ind w:right="864"/>
        <w:jc w:val="both"/>
        <w:rPr>
          <w:rFonts w:ascii="Wingdings" w:hAnsi="Wingdings" w:cs="Wingdings"/>
          <w:color w:val="000000"/>
          <w:sz w:val="18"/>
          <w:szCs w:val="18"/>
        </w:rPr>
      </w:pPr>
    </w:p>
    <w:p w14:paraId="4A9E2F17" w14:textId="77777777" w:rsidR="00EB402A" w:rsidRDefault="00EB402A" w:rsidP="005373B5">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56999349" w14:textId="77777777" w:rsidR="0072585E" w:rsidRDefault="0072585E" w:rsidP="0072585E">
      <w:pPr>
        <w:rPr>
          <w:sz w:val="24"/>
          <w:szCs w:val="24"/>
        </w:rPr>
      </w:pPr>
    </w:p>
    <w:p w14:paraId="5CB4400B" w14:textId="77777777" w:rsidR="00F87A5B" w:rsidRDefault="0094630A" w:rsidP="0094630A">
      <w:pPr>
        <w:tabs>
          <w:tab w:val="decimal" w:pos="7470"/>
        </w:tabs>
        <w:jc w:val="both"/>
      </w:pPr>
      <w:r w:rsidRPr="00F87A5B">
        <w:t xml:space="preserve">Indicate by check mark whether the registrant is a shell company (as defined in </w:t>
      </w:r>
      <w:r w:rsidR="00F87A5B">
        <w:t>Rule 12b-2 of the Exchange Act):</w:t>
      </w:r>
    </w:p>
    <w:p w14:paraId="0A09CEC0" w14:textId="77777777" w:rsidR="0094630A" w:rsidRPr="00F87A5B" w:rsidRDefault="0072585E" w:rsidP="0094630A">
      <w:pPr>
        <w:tabs>
          <w:tab w:val="decimal" w:pos="7470"/>
        </w:tabs>
        <w:jc w:val="both"/>
      </w:pPr>
      <w:r>
        <w:t xml:space="preserve">Yes </w:t>
      </w:r>
      <w:r w:rsidR="000D7A76" w:rsidRPr="001C3695">
        <w:rPr>
          <w:rFonts w:ascii="Wingdings" w:hAnsi="Wingdings" w:cs="Wingdings"/>
          <w:color w:val="000000"/>
          <w:sz w:val="18"/>
          <w:szCs w:val="18"/>
        </w:rPr>
        <w:fldChar w:fldCharType="begin">
          <w:ffData>
            <w:name w:val="Check1"/>
            <w:enabled/>
            <w:calcOnExit w:val="0"/>
            <w:checkBox>
              <w:sizeAuto/>
              <w:default w:val="0"/>
            </w:checkBox>
          </w:ffData>
        </w:fldChar>
      </w:r>
      <w:r w:rsidR="001C3695" w:rsidRP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000D7A76" w:rsidRPr="001C3695">
        <w:rPr>
          <w:rFonts w:ascii="Wingdings" w:hAnsi="Wingdings" w:cs="Wingdings"/>
          <w:color w:val="000000"/>
          <w:sz w:val="18"/>
          <w:szCs w:val="18"/>
        </w:rPr>
        <w:fldChar w:fldCharType="end"/>
      </w:r>
      <w:r w:rsidR="0094630A" w:rsidRPr="00F87A5B">
        <w:t xml:space="preserve"> </w:t>
      </w:r>
      <w:r w:rsidR="00F87A5B">
        <w:t xml:space="preserve">   </w:t>
      </w:r>
      <w:r w:rsidR="0094630A" w:rsidRPr="00F87A5B">
        <w:t xml:space="preserve">No </w:t>
      </w:r>
      <w:r w:rsidR="000D7A76">
        <w:rPr>
          <w:rFonts w:ascii="Wingdings" w:hAnsi="Wingdings" w:cs="Wingdings"/>
          <w:color w:val="000000"/>
          <w:sz w:val="18"/>
          <w:szCs w:val="18"/>
        </w:rPr>
        <w:fldChar w:fldCharType="begin">
          <w:ffData>
            <w:name w:val=""/>
            <w:enabled/>
            <w:calcOnExit w:val="0"/>
            <w:checkBox>
              <w:sizeAuto/>
              <w:default w:val="1"/>
            </w:checkBox>
          </w:ffData>
        </w:fldChar>
      </w:r>
      <w:r w:rsidR="001C3695">
        <w:rPr>
          <w:rFonts w:ascii="Wingdings" w:hAnsi="Wingdings" w:cs="Wingdings"/>
          <w:color w:val="000000"/>
          <w:sz w:val="18"/>
          <w:szCs w:val="18"/>
        </w:rPr>
        <w:instrText xml:space="preserve"> FORMCHECKBOX </w:instrText>
      </w:r>
      <w:r w:rsidR="009D5D41">
        <w:rPr>
          <w:rFonts w:ascii="Wingdings" w:hAnsi="Wingdings" w:cs="Wingdings"/>
          <w:color w:val="000000"/>
          <w:sz w:val="18"/>
          <w:szCs w:val="18"/>
        </w:rPr>
      </w:r>
      <w:r w:rsidR="009D5D41">
        <w:rPr>
          <w:rFonts w:ascii="Wingdings" w:hAnsi="Wingdings" w:cs="Wingdings"/>
          <w:color w:val="000000"/>
          <w:sz w:val="18"/>
          <w:szCs w:val="18"/>
        </w:rPr>
        <w:fldChar w:fldCharType="separate"/>
      </w:r>
      <w:r w:rsidR="000D7A76">
        <w:rPr>
          <w:rFonts w:ascii="Wingdings" w:hAnsi="Wingdings" w:cs="Wingdings"/>
          <w:color w:val="000000"/>
          <w:sz w:val="18"/>
          <w:szCs w:val="18"/>
        </w:rPr>
        <w:fldChar w:fldCharType="end"/>
      </w:r>
    </w:p>
    <w:p w14:paraId="12AC5872" w14:textId="77777777" w:rsidR="000128C9" w:rsidRDefault="000128C9" w:rsidP="000128C9">
      <w:pPr>
        <w:tabs>
          <w:tab w:val="decimal" w:pos="9180"/>
        </w:tabs>
        <w:jc w:val="both"/>
        <w:rPr>
          <w:szCs w:val="22"/>
        </w:rPr>
      </w:pPr>
    </w:p>
    <w:p w14:paraId="71837A23" w14:textId="23A7EA5C" w:rsidR="0094630A" w:rsidRDefault="0094630A">
      <w:pPr>
        <w:tabs>
          <w:tab w:val="decimal" w:pos="9180"/>
        </w:tabs>
        <w:jc w:val="both"/>
      </w:pPr>
      <w:r w:rsidRPr="003D6A75">
        <w:t>As o</w:t>
      </w:r>
      <w:r w:rsidR="009B114A" w:rsidRPr="003D6A75">
        <w:t xml:space="preserve">f </w:t>
      </w:r>
      <w:r w:rsidR="002D363C">
        <w:t>November</w:t>
      </w:r>
      <w:r w:rsidR="001F0568" w:rsidRPr="004A5874">
        <w:t xml:space="preserve"> </w:t>
      </w:r>
      <w:r w:rsidR="002D363C">
        <w:t>9</w:t>
      </w:r>
      <w:r w:rsidR="009B20E1" w:rsidRPr="004A5874">
        <w:t>,</w:t>
      </w:r>
      <w:r w:rsidR="00460775" w:rsidRPr="004A5874">
        <w:t xml:space="preserve"> 20</w:t>
      </w:r>
      <w:r w:rsidR="001F62EC" w:rsidRPr="004A5874">
        <w:t>2</w:t>
      </w:r>
      <w:r w:rsidR="008C326E">
        <w:t>2</w:t>
      </w:r>
      <w:r w:rsidR="00F75588" w:rsidRPr="006F2532">
        <w:t>,</w:t>
      </w:r>
      <w:r w:rsidR="00B9332C" w:rsidRPr="003D6A75">
        <w:t xml:space="preserve"> </w:t>
      </w:r>
      <w:r w:rsidR="00054F5F">
        <w:t>26,334,953</w:t>
      </w:r>
      <w:r w:rsidR="00DC3FAF" w:rsidRPr="003D6A75">
        <w:t xml:space="preserve"> </w:t>
      </w:r>
      <w:r w:rsidRPr="003D6A75">
        <w:t>shares of the Registrant</w:t>
      </w:r>
      <w:r w:rsidR="00B44A4C" w:rsidRPr="003D6A75">
        <w:t>’</w:t>
      </w:r>
      <w:r w:rsidRPr="003D6A75">
        <w:t>s common stock, $.001 par value, were issued and outstanding.</w:t>
      </w:r>
    </w:p>
    <w:p w14:paraId="5BF18321" w14:textId="77777777" w:rsidR="00277F5A" w:rsidRPr="000371CC" w:rsidRDefault="00BD6BBE" w:rsidP="00277F5A">
      <w:pPr>
        <w:jc w:val="center"/>
        <w:rPr>
          <w:b/>
        </w:rPr>
      </w:pPr>
      <w:r>
        <w:rPr>
          <w:sz w:val="24"/>
          <w:u w:val="single"/>
        </w:rPr>
        <w:br w:type="page"/>
      </w:r>
      <w:r w:rsidR="004E3374">
        <w:rPr>
          <w:b/>
        </w:rPr>
        <w:lastRenderedPageBreak/>
        <w:t>TABLE OF CONTENTS</w:t>
      </w:r>
    </w:p>
    <w:p w14:paraId="5B4070EA" w14:textId="77777777" w:rsidR="00277F5A" w:rsidRPr="000371CC" w:rsidRDefault="00277F5A" w:rsidP="00277F5A"/>
    <w:p w14:paraId="603A6CC5" w14:textId="77777777" w:rsidR="00277F5A" w:rsidRPr="000371CC" w:rsidRDefault="00277F5A" w:rsidP="00912751">
      <w:pPr>
        <w:tabs>
          <w:tab w:val="center" w:pos="9900"/>
        </w:tabs>
      </w:pPr>
      <w:r w:rsidRPr="000371CC">
        <w:tab/>
      </w:r>
      <w:r w:rsidRPr="000371CC">
        <w:rPr>
          <w:u w:val="single"/>
        </w:rPr>
        <w:t>Page</w:t>
      </w:r>
    </w:p>
    <w:p w14:paraId="3C6BAFDD" w14:textId="77777777" w:rsidR="00482106" w:rsidRPr="004E3374" w:rsidRDefault="004E3374" w:rsidP="00482106">
      <w:pPr>
        <w:tabs>
          <w:tab w:val="left" w:pos="1080"/>
          <w:tab w:val="left" w:pos="1440"/>
          <w:tab w:val="left" w:pos="2340"/>
          <w:tab w:val="decimal" w:pos="8910"/>
        </w:tabs>
        <w:rPr>
          <w:b/>
        </w:rPr>
      </w:pPr>
      <w:r w:rsidRPr="004E3374">
        <w:rPr>
          <w:b/>
        </w:rPr>
        <w:t>PART</w:t>
      </w:r>
      <w:r w:rsidR="00482106" w:rsidRPr="004E3374">
        <w:rPr>
          <w:b/>
        </w:rPr>
        <w:t xml:space="preserve"> I – FINANCIAL INFORMATION</w:t>
      </w:r>
    </w:p>
    <w:p w14:paraId="0A467327" w14:textId="77777777" w:rsidR="00482106" w:rsidRPr="000371CC" w:rsidRDefault="00482106" w:rsidP="00482106">
      <w:pPr>
        <w:tabs>
          <w:tab w:val="left" w:pos="1080"/>
          <w:tab w:val="left" w:pos="1440"/>
          <w:tab w:val="left" w:pos="2340"/>
          <w:tab w:val="decimal" w:pos="8910"/>
        </w:tabs>
      </w:pPr>
    </w:p>
    <w:p w14:paraId="4BBC45AE" w14:textId="77777777" w:rsidR="00482106" w:rsidRPr="000371CC" w:rsidRDefault="00482106" w:rsidP="004E3374">
      <w:pPr>
        <w:tabs>
          <w:tab w:val="left" w:pos="900"/>
          <w:tab w:val="right" w:pos="10200"/>
        </w:tabs>
      </w:pPr>
      <w:r w:rsidRPr="000371CC">
        <w:t>Item 1</w:t>
      </w:r>
      <w:r w:rsidRPr="000371CC">
        <w:tab/>
      </w:r>
      <w:r>
        <w:t xml:space="preserve">Condensed </w:t>
      </w:r>
      <w:r w:rsidRPr="000371CC">
        <w:t>Consolidated Financial Statements:</w:t>
      </w:r>
    </w:p>
    <w:p w14:paraId="10CA0BFD" w14:textId="5D4796E1" w:rsidR="00482106" w:rsidRPr="000371CC" w:rsidRDefault="00482106" w:rsidP="004E3374">
      <w:pPr>
        <w:tabs>
          <w:tab w:val="right" w:pos="10080"/>
        </w:tabs>
        <w:ind w:left="900"/>
      </w:pPr>
      <w:r>
        <w:t xml:space="preserve">Condensed </w:t>
      </w:r>
      <w:r w:rsidRPr="000371CC">
        <w:t xml:space="preserve">Consolidated Balance Sheets as of </w:t>
      </w:r>
      <w:r w:rsidR="002D363C">
        <w:t>September</w:t>
      </w:r>
      <w:r w:rsidR="00460775">
        <w:t xml:space="preserve"> 3</w:t>
      </w:r>
      <w:r w:rsidR="00833915">
        <w:t>0</w:t>
      </w:r>
      <w:r w:rsidR="00B35C97">
        <w:t xml:space="preserve">, </w:t>
      </w:r>
      <w:r w:rsidR="00460775">
        <w:t>20</w:t>
      </w:r>
      <w:r w:rsidR="001F62EC">
        <w:t>2</w:t>
      </w:r>
      <w:r w:rsidR="008C326E">
        <w:t>2</w:t>
      </w:r>
      <w:r w:rsidR="00ED6B2C">
        <w:t xml:space="preserve"> (unaudited)</w:t>
      </w:r>
      <w:r w:rsidR="00D74F1F">
        <w:t xml:space="preserve"> </w:t>
      </w:r>
      <w:r w:rsidR="00460775">
        <w:t>and December 31, 20</w:t>
      </w:r>
      <w:r w:rsidR="00E63149">
        <w:t>2</w:t>
      </w:r>
      <w:r w:rsidR="008C326E">
        <w:t>1</w:t>
      </w:r>
      <w:r w:rsidRPr="000371CC">
        <w:tab/>
        <w:t>1</w:t>
      </w:r>
    </w:p>
    <w:p w14:paraId="323AB257" w14:textId="7270318D" w:rsidR="004E3374" w:rsidRDefault="00482106" w:rsidP="004E3374">
      <w:pPr>
        <w:tabs>
          <w:tab w:val="right" w:pos="10080"/>
        </w:tabs>
        <w:ind w:left="900"/>
      </w:pPr>
      <w:r>
        <w:t xml:space="preserve">Condensed </w:t>
      </w:r>
      <w:r w:rsidRPr="000371CC">
        <w:t>Consolidated Statements of Opera</w:t>
      </w:r>
      <w:r w:rsidR="00CC2136">
        <w:t>tions for the three-</w:t>
      </w:r>
      <w:r w:rsidR="00AE3FA6">
        <w:t>month</w:t>
      </w:r>
      <w:r w:rsidR="00483E00">
        <w:t xml:space="preserve"> </w:t>
      </w:r>
      <w:r w:rsidR="00833915">
        <w:t xml:space="preserve">and </w:t>
      </w:r>
      <w:r w:rsidR="002D363C">
        <w:t>nine</w:t>
      </w:r>
      <w:r w:rsidR="00833915">
        <w:t xml:space="preserve">-month </w:t>
      </w:r>
      <w:r w:rsidR="00483E00">
        <w:t xml:space="preserve">periods </w:t>
      </w:r>
      <w:r w:rsidR="001F0568">
        <w:t>e</w:t>
      </w:r>
      <w:r w:rsidR="00A12E9E">
        <w:t>nded</w:t>
      </w:r>
    </w:p>
    <w:p w14:paraId="10D88DBF" w14:textId="262A0987" w:rsidR="00482106" w:rsidRDefault="004E3374" w:rsidP="004E3374">
      <w:pPr>
        <w:tabs>
          <w:tab w:val="right" w:pos="10080"/>
        </w:tabs>
        <w:ind w:left="900"/>
      </w:pPr>
      <w:r>
        <w:t xml:space="preserve">   </w:t>
      </w:r>
      <w:r w:rsidR="002D363C">
        <w:t>September</w:t>
      </w:r>
      <w:r w:rsidR="0063349C">
        <w:t xml:space="preserve"> </w:t>
      </w:r>
      <w:r w:rsidR="00460775">
        <w:t>3</w:t>
      </w:r>
      <w:r w:rsidR="00833915">
        <w:t>0</w:t>
      </w:r>
      <w:r w:rsidR="00460775">
        <w:t>, 20</w:t>
      </w:r>
      <w:r w:rsidR="001F62EC">
        <w:t>2</w:t>
      </w:r>
      <w:r w:rsidR="008C326E">
        <w:t>2</w:t>
      </w:r>
      <w:r w:rsidR="00731C61">
        <w:t xml:space="preserve"> </w:t>
      </w:r>
      <w:r w:rsidR="00460775">
        <w:t>and 20</w:t>
      </w:r>
      <w:r w:rsidR="00E63149">
        <w:t>2</w:t>
      </w:r>
      <w:r w:rsidR="008C326E">
        <w:t>1</w:t>
      </w:r>
      <w:r w:rsidR="00CC10F7">
        <w:t xml:space="preserve"> (unaudited)</w:t>
      </w:r>
      <w:r w:rsidR="00482106" w:rsidRPr="000371CC">
        <w:tab/>
      </w:r>
      <w:r w:rsidR="009E5F38">
        <w:t>2</w:t>
      </w:r>
    </w:p>
    <w:p w14:paraId="60ACCB41" w14:textId="45F85E7B" w:rsidR="00487CAB" w:rsidRDefault="00487CAB" w:rsidP="004E3374">
      <w:pPr>
        <w:tabs>
          <w:tab w:val="right" w:pos="10080"/>
        </w:tabs>
        <w:ind w:left="900"/>
      </w:pPr>
      <w:r>
        <w:t>Condensed Consolidated Statements of Changes in Stockholders’ Equity</w:t>
      </w:r>
    </w:p>
    <w:p w14:paraId="14FC8BBF" w14:textId="728748EC" w:rsidR="00487CAB" w:rsidRPr="000371CC" w:rsidRDefault="00487CAB" w:rsidP="004E3374">
      <w:pPr>
        <w:tabs>
          <w:tab w:val="right" w:pos="10080"/>
        </w:tabs>
        <w:ind w:left="900"/>
      </w:pPr>
      <w:r>
        <w:t xml:space="preserve">   for the three-month </w:t>
      </w:r>
      <w:r w:rsidR="00833915">
        <w:t xml:space="preserve">and </w:t>
      </w:r>
      <w:r w:rsidR="002D363C">
        <w:t>nine</w:t>
      </w:r>
      <w:r w:rsidR="00833915">
        <w:t xml:space="preserve">-month </w:t>
      </w:r>
      <w:r>
        <w:t xml:space="preserve">periods ended </w:t>
      </w:r>
      <w:r w:rsidR="002D363C">
        <w:t>September</w:t>
      </w:r>
      <w:r>
        <w:t xml:space="preserve"> 3</w:t>
      </w:r>
      <w:r w:rsidR="00833915">
        <w:t>0</w:t>
      </w:r>
      <w:r>
        <w:t>, 20</w:t>
      </w:r>
      <w:r w:rsidR="001F62EC">
        <w:t>2</w:t>
      </w:r>
      <w:r w:rsidR="008C326E">
        <w:t>2</w:t>
      </w:r>
      <w:r>
        <w:t xml:space="preserve"> and 20</w:t>
      </w:r>
      <w:r w:rsidR="00E63149">
        <w:t>2</w:t>
      </w:r>
      <w:r w:rsidR="008C326E">
        <w:t>1</w:t>
      </w:r>
      <w:r>
        <w:t xml:space="preserve"> (unaudited)</w:t>
      </w:r>
      <w:r>
        <w:tab/>
        <w:t>3</w:t>
      </w:r>
    </w:p>
    <w:p w14:paraId="5EC29F91" w14:textId="65862192" w:rsidR="004E3374" w:rsidRDefault="00482106" w:rsidP="004E3374">
      <w:pPr>
        <w:tabs>
          <w:tab w:val="right" w:pos="10080"/>
        </w:tabs>
        <w:ind w:left="900"/>
      </w:pPr>
      <w:r>
        <w:t xml:space="preserve">Condensed </w:t>
      </w:r>
      <w:r w:rsidRPr="000371CC">
        <w:t xml:space="preserve">Consolidated Statements of Cash Flows for the </w:t>
      </w:r>
      <w:r w:rsidR="002D363C">
        <w:t>nine</w:t>
      </w:r>
      <w:r w:rsidR="00CC2136">
        <w:t>-</w:t>
      </w:r>
      <w:r w:rsidR="00F758D1">
        <w:t xml:space="preserve">month </w:t>
      </w:r>
      <w:r w:rsidR="00483E00">
        <w:t xml:space="preserve">periods </w:t>
      </w:r>
      <w:r w:rsidR="00731D11">
        <w:t>ended</w:t>
      </w:r>
    </w:p>
    <w:p w14:paraId="6B706CF1" w14:textId="0A827A29" w:rsidR="00482106" w:rsidRPr="000371CC" w:rsidRDefault="004E3374" w:rsidP="004E3374">
      <w:pPr>
        <w:tabs>
          <w:tab w:val="right" w:pos="10080"/>
        </w:tabs>
        <w:ind w:left="900"/>
      </w:pPr>
      <w:r>
        <w:t xml:space="preserve">   </w:t>
      </w:r>
      <w:r w:rsidR="002D363C">
        <w:t>September</w:t>
      </w:r>
      <w:r w:rsidR="0063349C">
        <w:t xml:space="preserve"> </w:t>
      </w:r>
      <w:r w:rsidR="00460775">
        <w:t>3</w:t>
      </w:r>
      <w:r w:rsidR="00833915">
        <w:t>0</w:t>
      </w:r>
      <w:r w:rsidR="00823D2D">
        <w:t xml:space="preserve">, </w:t>
      </w:r>
      <w:r w:rsidR="00460775">
        <w:t>20</w:t>
      </w:r>
      <w:r w:rsidR="001F62EC">
        <w:t>2</w:t>
      </w:r>
      <w:r w:rsidR="008C326E">
        <w:t>2</w:t>
      </w:r>
      <w:r>
        <w:t xml:space="preserve"> </w:t>
      </w:r>
      <w:r w:rsidR="00460775">
        <w:t>and 20</w:t>
      </w:r>
      <w:r w:rsidR="00E63149">
        <w:t>2</w:t>
      </w:r>
      <w:r w:rsidR="008C326E">
        <w:t>1</w:t>
      </w:r>
      <w:r w:rsidR="00CC10F7">
        <w:t xml:space="preserve"> (unaudited)</w:t>
      </w:r>
      <w:r w:rsidR="00482106">
        <w:tab/>
      </w:r>
      <w:r w:rsidR="00487CAB">
        <w:t>4</w:t>
      </w:r>
    </w:p>
    <w:p w14:paraId="53104FA3" w14:textId="3CB4D21D" w:rsidR="00482106" w:rsidRPr="000371CC" w:rsidRDefault="00482106" w:rsidP="004E3374">
      <w:pPr>
        <w:tabs>
          <w:tab w:val="right" w:pos="10080"/>
        </w:tabs>
        <w:ind w:left="900"/>
      </w:pPr>
      <w:r w:rsidRPr="000371CC">
        <w:t xml:space="preserve">Notes to </w:t>
      </w:r>
      <w:r w:rsidR="00110E4D">
        <w:t xml:space="preserve">Condensed </w:t>
      </w:r>
      <w:r w:rsidRPr="000371CC">
        <w:t>Con</w:t>
      </w:r>
      <w:r>
        <w:t>solidated Financial Statements</w:t>
      </w:r>
      <w:r w:rsidR="00BB7BD4">
        <w:t xml:space="preserve"> (unaudited)</w:t>
      </w:r>
      <w:r>
        <w:tab/>
      </w:r>
      <w:r w:rsidR="00487CAB">
        <w:t>5</w:t>
      </w:r>
    </w:p>
    <w:p w14:paraId="33CC043F" w14:textId="77777777" w:rsidR="00482106" w:rsidRPr="000371CC" w:rsidRDefault="00482106" w:rsidP="00482106">
      <w:pPr>
        <w:tabs>
          <w:tab w:val="left" w:pos="1080"/>
          <w:tab w:val="left" w:pos="1260"/>
          <w:tab w:val="left" w:pos="2340"/>
          <w:tab w:val="right" w:pos="10200"/>
        </w:tabs>
        <w:ind w:left="1160" w:hanging="1160"/>
      </w:pPr>
    </w:p>
    <w:p w14:paraId="34CBAB2C" w14:textId="4668E85E" w:rsidR="00482106" w:rsidRDefault="00482106" w:rsidP="004E3374">
      <w:pPr>
        <w:tabs>
          <w:tab w:val="left" w:pos="900"/>
          <w:tab w:val="right" w:pos="10080"/>
        </w:tabs>
      </w:pPr>
      <w:r w:rsidRPr="000371CC">
        <w:t>Item 2</w:t>
      </w:r>
      <w:r w:rsidRPr="000371CC">
        <w:tab/>
        <w:t>Management's Discussion and Analysis of Financial Condit</w:t>
      </w:r>
      <w:r>
        <w:t>ion and Results of Operations</w:t>
      </w:r>
      <w:r>
        <w:tab/>
      </w:r>
      <w:r w:rsidR="00AF68E1">
        <w:t>9</w:t>
      </w:r>
    </w:p>
    <w:p w14:paraId="04727900" w14:textId="77777777" w:rsidR="00482106" w:rsidRDefault="00482106" w:rsidP="004E3374">
      <w:pPr>
        <w:tabs>
          <w:tab w:val="left" w:pos="900"/>
          <w:tab w:val="right" w:pos="10080"/>
        </w:tabs>
      </w:pPr>
    </w:p>
    <w:p w14:paraId="3698A973" w14:textId="438BDCC5" w:rsidR="00482106" w:rsidRPr="000371CC" w:rsidRDefault="00482106" w:rsidP="004E3374">
      <w:pPr>
        <w:tabs>
          <w:tab w:val="left" w:pos="900"/>
          <w:tab w:val="right" w:pos="10080"/>
        </w:tabs>
      </w:pPr>
      <w:r>
        <w:t>Item 3</w:t>
      </w:r>
      <w:r>
        <w:tab/>
        <w:t>Quantitative and Qualitative</w:t>
      </w:r>
      <w:r w:rsidR="00BD3C1C">
        <w:t xml:space="preserve"> </w:t>
      </w:r>
      <w:r w:rsidR="00A13B22">
        <w:t xml:space="preserve">Disclosures about </w:t>
      </w:r>
      <w:r w:rsidR="009E5F38">
        <w:t>Market Risk</w:t>
      </w:r>
      <w:r w:rsidR="009E5F38">
        <w:tab/>
      </w:r>
      <w:r w:rsidR="00884BA5">
        <w:t>1</w:t>
      </w:r>
      <w:r w:rsidR="00D12423">
        <w:t>5</w:t>
      </w:r>
    </w:p>
    <w:p w14:paraId="19A98050" w14:textId="77777777" w:rsidR="00482106" w:rsidRPr="000371CC" w:rsidRDefault="00482106" w:rsidP="002D1A5A">
      <w:pPr>
        <w:tabs>
          <w:tab w:val="left" w:pos="900"/>
          <w:tab w:val="right" w:pos="10080"/>
        </w:tabs>
      </w:pPr>
    </w:p>
    <w:p w14:paraId="16AC473F" w14:textId="67A13E11" w:rsidR="00482106" w:rsidRPr="000371CC" w:rsidRDefault="00482106" w:rsidP="004E3374">
      <w:pPr>
        <w:tabs>
          <w:tab w:val="left" w:pos="900"/>
          <w:tab w:val="right" w:pos="10080"/>
        </w:tabs>
        <w:ind w:firstLine="10"/>
      </w:pPr>
      <w:r w:rsidRPr="000371CC">
        <w:t>I</w:t>
      </w:r>
      <w:r w:rsidR="009E5F38">
        <w:t>tem 4</w:t>
      </w:r>
      <w:r w:rsidR="009E5F38">
        <w:tab/>
        <w:t>Controls and Procedures</w:t>
      </w:r>
      <w:r w:rsidR="009E5F38">
        <w:tab/>
      </w:r>
      <w:r w:rsidR="00175A7C">
        <w:t>1</w:t>
      </w:r>
      <w:r w:rsidR="00D12423">
        <w:t>5</w:t>
      </w:r>
    </w:p>
    <w:p w14:paraId="6A35E89E" w14:textId="77777777" w:rsidR="00482106" w:rsidRPr="000371CC" w:rsidRDefault="00482106" w:rsidP="00482106">
      <w:pPr>
        <w:tabs>
          <w:tab w:val="left" w:pos="1080"/>
          <w:tab w:val="left" w:pos="1260"/>
          <w:tab w:val="left" w:pos="2340"/>
          <w:tab w:val="right" w:pos="10200"/>
        </w:tabs>
        <w:ind w:left="1160" w:hanging="1160"/>
      </w:pPr>
    </w:p>
    <w:p w14:paraId="3129E019" w14:textId="77777777" w:rsidR="00482106" w:rsidRPr="004E3374" w:rsidRDefault="004E3374" w:rsidP="00482106">
      <w:pPr>
        <w:tabs>
          <w:tab w:val="left" w:pos="1080"/>
          <w:tab w:val="left" w:pos="1260"/>
          <w:tab w:val="left" w:pos="2340"/>
          <w:tab w:val="right" w:pos="10200"/>
        </w:tabs>
        <w:ind w:left="1160" w:hanging="1160"/>
        <w:rPr>
          <w:b/>
        </w:rPr>
      </w:pPr>
      <w:r w:rsidRPr="004E3374">
        <w:rPr>
          <w:b/>
        </w:rPr>
        <w:t>PART</w:t>
      </w:r>
      <w:r w:rsidR="00482106" w:rsidRPr="004E3374">
        <w:rPr>
          <w:b/>
        </w:rPr>
        <w:t xml:space="preserve"> II – OTHER INFORMATION</w:t>
      </w:r>
    </w:p>
    <w:p w14:paraId="2E86EBBC" w14:textId="77777777" w:rsidR="00482106" w:rsidRPr="000371CC" w:rsidRDefault="00482106" w:rsidP="00482106">
      <w:pPr>
        <w:tabs>
          <w:tab w:val="left" w:pos="1080"/>
          <w:tab w:val="right" w:pos="10200"/>
        </w:tabs>
      </w:pPr>
    </w:p>
    <w:p w14:paraId="090E5E2C" w14:textId="2FD6FD79" w:rsidR="00482106" w:rsidRPr="000371CC" w:rsidRDefault="00482106" w:rsidP="004E3374">
      <w:pPr>
        <w:tabs>
          <w:tab w:val="left" w:pos="900"/>
          <w:tab w:val="right" w:pos="10080"/>
        </w:tabs>
      </w:pPr>
      <w:r w:rsidRPr="000371CC">
        <w:t>Item 1</w:t>
      </w:r>
      <w:r w:rsidRPr="000371CC">
        <w:tab/>
        <w:t>Legal Proceedings</w:t>
      </w:r>
      <w:r w:rsidR="009E5F38">
        <w:tab/>
      </w:r>
      <w:r w:rsidR="00175A7C">
        <w:t>1</w:t>
      </w:r>
      <w:r w:rsidR="00D12423">
        <w:t>6</w:t>
      </w:r>
    </w:p>
    <w:p w14:paraId="073F6D6B" w14:textId="77777777" w:rsidR="00482106" w:rsidRPr="000371CC" w:rsidRDefault="00482106" w:rsidP="004E3374">
      <w:pPr>
        <w:tabs>
          <w:tab w:val="left" w:pos="900"/>
          <w:tab w:val="right" w:pos="10200"/>
        </w:tabs>
      </w:pPr>
    </w:p>
    <w:p w14:paraId="27555486" w14:textId="65C6E8FD" w:rsidR="00482106" w:rsidRPr="000371CC" w:rsidRDefault="00482106" w:rsidP="004E3374">
      <w:pPr>
        <w:tabs>
          <w:tab w:val="left" w:pos="900"/>
          <w:tab w:val="right" w:pos="10080"/>
          <w:tab w:val="right" w:pos="10200"/>
        </w:tabs>
      </w:pPr>
      <w:r w:rsidRPr="000371CC">
        <w:t>Item 1A</w:t>
      </w:r>
      <w:r w:rsidRPr="000371CC">
        <w:tab/>
        <w:t>Risk Factors</w:t>
      </w:r>
      <w:r w:rsidR="009E5F38">
        <w:tab/>
      </w:r>
      <w:r w:rsidR="00175A7C">
        <w:t>1</w:t>
      </w:r>
      <w:r w:rsidR="00D12423">
        <w:t>6</w:t>
      </w:r>
    </w:p>
    <w:p w14:paraId="0F986A6E" w14:textId="77777777" w:rsidR="00482106" w:rsidRPr="000371CC" w:rsidRDefault="00482106" w:rsidP="004E3374">
      <w:pPr>
        <w:tabs>
          <w:tab w:val="left" w:pos="900"/>
          <w:tab w:val="right" w:pos="10080"/>
          <w:tab w:val="right" w:pos="10200"/>
        </w:tabs>
      </w:pPr>
    </w:p>
    <w:p w14:paraId="6537B7F4" w14:textId="1AE5308B" w:rsidR="00482106" w:rsidRPr="000371CC" w:rsidRDefault="00482106" w:rsidP="004E3374">
      <w:pPr>
        <w:tabs>
          <w:tab w:val="left" w:pos="900"/>
          <w:tab w:val="right" w:pos="10080"/>
          <w:tab w:val="right" w:pos="10200"/>
        </w:tabs>
      </w:pPr>
      <w:r w:rsidRPr="000371CC">
        <w:t>Item 2</w:t>
      </w:r>
      <w:r w:rsidRPr="000371CC">
        <w:tab/>
        <w:t>Unregistered Sale</w:t>
      </w:r>
      <w:r w:rsidR="00333843">
        <w:t>s</w:t>
      </w:r>
      <w:r w:rsidRPr="000371CC">
        <w:t xml:space="preserve"> of Equity Securities and Use of Proceeds</w:t>
      </w:r>
      <w:r w:rsidR="009E5F38">
        <w:tab/>
      </w:r>
      <w:r w:rsidR="00175A7C">
        <w:t>1</w:t>
      </w:r>
      <w:r w:rsidR="00D12423">
        <w:t>6</w:t>
      </w:r>
    </w:p>
    <w:p w14:paraId="2598FC1C" w14:textId="77777777" w:rsidR="00482106" w:rsidRPr="000371CC" w:rsidRDefault="00482106" w:rsidP="004E3374">
      <w:pPr>
        <w:tabs>
          <w:tab w:val="left" w:pos="900"/>
          <w:tab w:val="right" w:pos="10080"/>
          <w:tab w:val="right" w:pos="10200"/>
        </w:tabs>
      </w:pPr>
    </w:p>
    <w:p w14:paraId="790C8A4C" w14:textId="6583F6EC" w:rsidR="00482106" w:rsidRDefault="00482106" w:rsidP="004E3374">
      <w:pPr>
        <w:tabs>
          <w:tab w:val="left" w:pos="900"/>
          <w:tab w:val="right" w:pos="10080"/>
          <w:tab w:val="right" w:pos="10200"/>
        </w:tabs>
      </w:pPr>
      <w:r w:rsidRPr="000371CC">
        <w:t>Item 3</w:t>
      </w:r>
      <w:r w:rsidRPr="000371CC">
        <w:tab/>
        <w:t>Default</w:t>
      </w:r>
      <w:r w:rsidR="00333843">
        <w:t>s</w:t>
      </w:r>
      <w:r w:rsidRPr="000371CC">
        <w:t xml:space="preserve"> Upon Senior Securities</w:t>
      </w:r>
      <w:r w:rsidR="009E5F38">
        <w:tab/>
      </w:r>
      <w:r w:rsidR="00175A7C">
        <w:t>1</w:t>
      </w:r>
      <w:r w:rsidR="00D12423">
        <w:t>6</w:t>
      </w:r>
    </w:p>
    <w:p w14:paraId="7122746D" w14:textId="77777777" w:rsidR="00BF7DB7" w:rsidRDefault="00BF7DB7" w:rsidP="004E3374">
      <w:pPr>
        <w:tabs>
          <w:tab w:val="left" w:pos="900"/>
          <w:tab w:val="right" w:pos="10080"/>
          <w:tab w:val="right" w:pos="10200"/>
        </w:tabs>
      </w:pPr>
    </w:p>
    <w:p w14:paraId="51D96C50" w14:textId="12A49EF1" w:rsidR="00BF7DB7" w:rsidRPr="000371CC" w:rsidRDefault="00BF7DB7" w:rsidP="004E3374">
      <w:pPr>
        <w:tabs>
          <w:tab w:val="left" w:pos="900"/>
          <w:tab w:val="right" w:pos="10080"/>
          <w:tab w:val="right" w:pos="10200"/>
        </w:tabs>
      </w:pPr>
      <w:r>
        <w:t>Item 4</w:t>
      </w:r>
      <w:r>
        <w:tab/>
      </w:r>
      <w:r w:rsidR="000D4A4B">
        <w:t>Mine Safety Disclosures</w:t>
      </w:r>
      <w:r w:rsidR="009E5F38">
        <w:tab/>
      </w:r>
      <w:r w:rsidR="00175A7C">
        <w:t>1</w:t>
      </w:r>
      <w:r w:rsidR="00D12423">
        <w:t>6</w:t>
      </w:r>
    </w:p>
    <w:p w14:paraId="1D1D1680" w14:textId="77777777" w:rsidR="00482106" w:rsidRPr="000371CC" w:rsidRDefault="00482106" w:rsidP="004E3374">
      <w:pPr>
        <w:tabs>
          <w:tab w:val="left" w:pos="900"/>
          <w:tab w:val="right" w:pos="10080"/>
          <w:tab w:val="right" w:pos="10200"/>
        </w:tabs>
      </w:pPr>
    </w:p>
    <w:p w14:paraId="7FF4F361" w14:textId="507249E8" w:rsidR="00482106" w:rsidRPr="000371CC" w:rsidRDefault="003A0C0D" w:rsidP="004E3374">
      <w:pPr>
        <w:tabs>
          <w:tab w:val="left" w:pos="900"/>
          <w:tab w:val="right" w:pos="10080"/>
          <w:tab w:val="right" w:pos="10200"/>
        </w:tabs>
      </w:pPr>
      <w:r>
        <w:t xml:space="preserve">Item </w:t>
      </w:r>
      <w:r w:rsidR="00BF7DB7">
        <w:t>5</w:t>
      </w:r>
      <w:r w:rsidR="00482106" w:rsidRPr="000371CC">
        <w:t xml:space="preserve"> </w:t>
      </w:r>
      <w:r w:rsidR="00482106" w:rsidRPr="000371CC">
        <w:tab/>
        <w:t>Other Information</w:t>
      </w:r>
      <w:r w:rsidR="009E5F38">
        <w:tab/>
      </w:r>
      <w:r w:rsidR="00175A7C">
        <w:t>1</w:t>
      </w:r>
      <w:r w:rsidR="00D12423">
        <w:t>6</w:t>
      </w:r>
    </w:p>
    <w:p w14:paraId="7329C9FE" w14:textId="77777777" w:rsidR="00482106" w:rsidRPr="000371CC" w:rsidRDefault="00482106" w:rsidP="004E3374">
      <w:pPr>
        <w:tabs>
          <w:tab w:val="left" w:pos="900"/>
          <w:tab w:val="right" w:pos="10080"/>
          <w:tab w:val="right" w:pos="10200"/>
        </w:tabs>
      </w:pPr>
    </w:p>
    <w:p w14:paraId="25371BEC" w14:textId="4B8A38A0" w:rsidR="00482106" w:rsidRPr="000371CC" w:rsidRDefault="003A0C0D" w:rsidP="004E3374">
      <w:pPr>
        <w:tabs>
          <w:tab w:val="left" w:pos="900"/>
          <w:tab w:val="right" w:pos="10080"/>
          <w:tab w:val="right" w:pos="10200"/>
        </w:tabs>
      </w:pPr>
      <w:r>
        <w:t xml:space="preserve">Item </w:t>
      </w:r>
      <w:r w:rsidR="00BF7DB7">
        <w:t>6</w:t>
      </w:r>
      <w:r w:rsidR="00482106" w:rsidRPr="000371CC">
        <w:t xml:space="preserve"> </w:t>
      </w:r>
      <w:r w:rsidR="00482106" w:rsidRPr="000371CC">
        <w:tab/>
        <w:t xml:space="preserve">Exhibits </w:t>
      </w:r>
      <w:r w:rsidR="009E5F38">
        <w:tab/>
      </w:r>
      <w:r w:rsidR="00175A7C">
        <w:t>1</w:t>
      </w:r>
      <w:r w:rsidR="00D12423">
        <w:t>7</w:t>
      </w:r>
    </w:p>
    <w:p w14:paraId="4E36EFF2" w14:textId="77777777" w:rsidR="00482106" w:rsidRPr="000371CC" w:rsidRDefault="00482106" w:rsidP="00912751">
      <w:pPr>
        <w:tabs>
          <w:tab w:val="left" w:pos="1080"/>
          <w:tab w:val="left" w:pos="1260"/>
          <w:tab w:val="left" w:pos="2340"/>
          <w:tab w:val="right" w:pos="10080"/>
          <w:tab w:val="right" w:pos="10200"/>
        </w:tabs>
        <w:ind w:left="1160" w:hanging="1160"/>
      </w:pPr>
    </w:p>
    <w:p w14:paraId="2C9FEE22" w14:textId="10AB28D2" w:rsidR="00482106" w:rsidRDefault="00482106" w:rsidP="00912751">
      <w:pPr>
        <w:tabs>
          <w:tab w:val="left" w:pos="1080"/>
          <w:tab w:val="left" w:pos="1260"/>
          <w:tab w:val="left" w:pos="2340"/>
          <w:tab w:val="right" w:pos="10080"/>
          <w:tab w:val="right" w:pos="10200"/>
        </w:tabs>
        <w:ind w:left="1160" w:hanging="1160"/>
      </w:pPr>
      <w:r w:rsidRPr="004E3374">
        <w:rPr>
          <w:b/>
        </w:rPr>
        <w:t>SIGNATURE</w:t>
      </w:r>
      <w:r w:rsidR="00B35C97" w:rsidRPr="004E3374">
        <w:rPr>
          <w:b/>
        </w:rPr>
        <w:t>S</w:t>
      </w:r>
      <w:r w:rsidR="00B35C97" w:rsidRPr="004E3374">
        <w:rPr>
          <w:b/>
        </w:rPr>
        <w:tab/>
      </w:r>
      <w:r w:rsidR="00AA0A65">
        <w:tab/>
      </w:r>
      <w:r w:rsidR="00175A7C">
        <w:t>1</w:t>
      </w:r>
      <w:r w:rsidR="00D12423">
        <w:t>8</w:t>
      </w:r>
    </w:p>
    <w:p w14:paraId="0E7F5251" w14:textId="77777777" w:rsidR="00B06924" w:rsidRDefault="00B06924" w:rsidP="00912751">
      <w:pPr>
        <w:tabs>
          <w:tab w:val="left" w:pos="1080"/>
          <w:tab w:val="left" w:pos="1260"/>
          <w:tab w:val="left" w:pos="2340"/>
          <w:tab w:val="right" w:pos="10080"/>
          <w:tab w:val="right" w:pos="10200"/>
        </w:tabs>
        <w:ind w:left="1160" w:hanging="1160"/>
      </w:pPr>
    </w:p>
    <w:p w14:paraId="3107C046" w14:textId="77777777" w:rsidR="00277F5A" w:rsidRDefault="00277F5A" w:rsidP="00277F5A">
      <w:pPr>
        <w:tabs>
          <w:tab w:val="left" w:pos="1080"/>
          <w:tab w:val="left" w:pos="1260"/>
          <w:tab w:val="left" w:pos="2340"/>
          <w:tab w:val="right" w:pos="9900"/>
        </w:tabs>
        <w:ind w:left="1160" w:hanging="1160"/>
      </w:pPr>
    </w:p>
    <w:p w14:paraId="1168115A" w14:textId="77777777" w:rsidR="006A70C4" w:rsidRDefault="006A70C4" w:rsidP="00277F5A">
      <w:pPr>
        <w:tabs>
          <w:tab w:val="left" w:pos="1080"/>
          <w:tab w:val="left" w:pos="1260"/>
          <w:tab w:val="left" w:pos="2340"/>
          <w:tab w:val="right" w:pos="9900"/>
        </w:tabs>
        <w:ind w:left="1160" w:hanging="1160"/>
      </w:pPr>
    </w:p>
    <w:p w14:paraId="606E6DF4" w14:textId="77777777" w:rsidR="00483E00" w:rsidRDefault="00483E00" w:rsidP="00277F5A">
      <w:pPr>
        <w:tabs>
          <w:tab w:val="left" w:pos="1080"/>
          <w:tab w:val="left" w:pos="1260"/>
          <w:tab w:val="left" w:pos="2340"/>
          <w:tab w:val="right" w:pos="9900"/>
        </w:tabs>
        <w:ind w:left="1160" w:hanging="1160"/>
      </w:pPr>
    </w:p>
    <w:p w14:paraId="077D15B1" w14:textId="77777777" w:rsidR="00277F5A" w:rsidRPr="000371CC" w:rsidRDefault="00277F5A" w:rsidP="00277F5A">
      <w:pPr>
        <w:tabs>
          <w:tab w:val="left" w:pos="1080"/>
          <w:tab w:val="left" w:pos="1260"/>
          <w:tab w:val="left" w:pos="2340"/>
          <w:tab w:val="right" w:pos="9900"/>
        </w:tabs>
        <w:ind w:left="1160" w:right="-360" w:hanging="1160"/>
      </w:pPr>
    </w:p>
    <w:p w14:paraId="64B5D7ED" w14:textId="77777777" w:rsidR="00277F5A" w:rsidRPr="000371CC" w:rsidRDefault="00277F5A" w:rsidP="00277F5A">
      <w:pPr>
        <w:sectPr w:rsidR="00277F5A"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2F299AE1" w14:textId="77777777" w:rsidR="00277F5A" w:rsidRPr="001C3695" w:rsidRDefault="004E3374" w:rsidP="008C2AC9">
      <w:pPr>
        <w:pStyle w:val="Heading1"/>
        <w:numPr>
          <w:ilvl w:val="0"/>
          <w:numId w:val="0"/>
        </w:numPr>
      </w:pPr>
      <w:bookmarkStart w:id="5" w:name="_Toc197922408"/>
      <w:r>
        <w:lastRenderedPageBreak/>
        <w:t>Part I</w:t>
      </w:r>
      <w:r w:rsidR="008C2AC9">
        <w:t xml:space="preserve"> -- </w:t>
      </w:r>
      <w:r w:rsidR="001C3695">
        <w:t>F</w:t>
      </w:r>
      <w:r w:rsidR="00277F5A" w:rsidRPr="001C3695">
        <w:t>INANCIAL INFORMATION</w:t>
      </w:r>
      <w:bookmarkEnd w:id="5"/>
    </w:p>
    <w:p w14:paraId="6A278646" w14:textId="77777777" w:rsidR="008C2AC9" w:rsidRPr="008C2AC9" w:rsidRDefault="008C2AC9" w:rsidP="008C2AC9">
      <w:bookmarkStart w:id="6"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2900A5B8" w:rsidR="001F62EC" w:rsidRPr="00356734" w:rsidRDefault="002D363C" w:rsidP="001F62EC">
            <w:pPr>
              <w:jc w:val="center"/>
              <w:rPr>
                <w:snapToGrid w:val="0"/>
                <w:color w:val="000000"/>
              </w:rPr>
            </w:pPr>
            <w:r>
              <w:rPr>
                <w:snapToGrid w:val="0"/>
                <w:color w:val="000000"/>
              </w:rPr>
              <w:t>September</w:t>
            </w:r>
            <w:r w:rsidR="001F62EC">
              <w:rPr>
                <w:snapToGrid w:val="0"/>
                <w:color w:val="000000"/>
              </w:rPr>
              <w:t xml:space="preserve"> 3</w:t>
            </w:r>
            <w:r w:rsidR="00833915">
              <w:rPr>
                <w:snapToGrid w:val="0"/>
                <w:color w:val="000000"/>
              </w:rPr>
              <w:t>0</w:t>
            </w:r>
            <w:r w:rsidR="00B62EFB">
              <w:rPr>
                <w:snapToGrid w:val="0"/>
                <w:color w:val="000000"/>
              </w:rPr>
              <w:t>,</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576D3B86" w:rsidR="001F62EC" w:rsidRPr="00356734" w:rsidRDefault="001F62EC" w:rsidP="001F62EC">
            <w:pPr>
              <w:jc w:val="center"/>
              <w:rPr>
                <w:snapToGrid w:val="0"/>
                <w:color w:val="000000"/>
              </w:rPr>
            </w:pPr>
            <w:r>
              <w:rPr>
                <w:snapToGrid w:val="0"/>
                <w:color w:val="000000"/>
              </w:rPr>
              <w:t>202</w:t>
            </w:r>
            <w:r w:rsidR="00662C05">
              <w:rPr>
                <w:snapToGrid w:val="0"/>
                <w:color w:val="000000"/>
              </w:rPr>
              <w:t>2</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60E65DE7" w:rsidR="001F62EC" w:rsidRPr="00356734" w:rsidRDefault="001F62EC" w:rsidP="001F62EC">
            <w:pPr>
              <w:jc w:val="center"/>
              <w:rPr>
                <w:snapToGrid w:val="0"/>
                <w:color w:val="000000"/>
              </w:rPr>
            </w:pPr>
            <w:r w:rsidRPr="00356734">
              <w:rPr>
                <w:snapToGrid w:val="0"/>
                <w:color w:val="000000"/>
              </w:rPr>
              <w:t>20</w:t>
            </w:r>
            <w:r w:rsidR="005E4E22">
              <w:rPr>
                <w:snapToGrid w:val="0"/>
                <w:color w:val="000000"/>
              </w:rPr>
              <w:t>2</w:t>
            </w:r>
            <w:r w:rsidR="00662C05">
              <w:rPr>
                <w:snapToGrid w:val="0"/>
                <w:color w:val="000000"/>
              </w:rPr>
              <w:t>1</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737A6192"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54F5F">
              <w:rPr>
                <w:snapToGrid w:val="0"/>
                <w:color w:val="000000"/>
              </w:rPr>
              <w:t>34,676,968</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60B0E23D"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r>
            <w:r w:rsidR="00662C05">
              <w:rPr>
                <w:snapToGrid w:val="0"/>
                <w:color w:val="000000"/>
              </w:rPr>
              <w:t>11,423,870</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134C1615" w:rsidR="001F62EC" w:rsidRPr="00EB7BF0" w:rsidRDefault="001F62EC" w:rsidP="001F62EC">
            <w:pPr>
              <w:rPr>
                <w:snapToGrid w:val="0"/>
                <w:color w:val="000000"/>
              </w:rPr>
            </w:pPr>
            <w:r w:rsidRPr="00374FE3">
              <w:rPr>
                <w:snapToGrid w:val="0"/>
                <w:color w:val="000000"/>
              </w:rPr>
              <w:t>Grant funds receivable</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398CF50D" w:rsidR="001F62EC" w:rsidRPr="00EB7BF0" w:rsidRDefault="00986D87" w:rsidP="001F62EC">
            <w:pPr>
              <w:tabs>
                <w:tab w:val="decimal" w:pos="1320"/>
              </w:tabs>
              <w:rPr>
                <w:snapToGrid w:val="0"/>
                <w:color w:val="000000"/>
              </w:rPr>
            </w:pPr>
            <w:r>
              <w:rPr>
                <w:snapToGrid w:val="0"/>
                <w:color w:val="000000"/>
              </w:rPr>
              <w:t>-</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1B5D7803" w:rsidR="001F62EC" w:rsidRPr="00EB7BF0" w:rsidRDefault="00662C05" w:rsidP="001F62EC">
            <w:pPr>
              <w:tabs>
                <w:tab w:val="decimal" w:pos="1500"/>
              </w:tabs>
              <w:rPr>
                <w:snapToGrid w:val="0"/>
                <w:color w:val="000000"/>
              </w:rPr>
            </w:pPr>
            <w:r>
              <w:rPr>
                <w:snapToGrid w:val="0"/>
                <w:color w:val="000000"/>
              </w:rPr>
              <w:t>49,006</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10F0A670" w:rsidR="001F62EC" w:rsidRPr="00EB7BF0" w:rsidRDefault="00D518B5" w:rsidP="001F62EC">
            <w:pPr>
              <w:rPr>
                <w:b/>
                <w:snapToGrid w:val="0"/>
                <w:color w:val="000000"/>
              </w:rPr>
            </w:pPr>
            <w:r>
              <w:rPr>
                <w:snapToGrid w:val="0"/>
                <w:color w:val="000000"/>
              </w:rPr>
              <w:t>Prepaid expenses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5618AB2A" w:rsidR="001F62EC" w:rsidRPr="00EB7BF0" w:rsidRDefault="00054F5F" w:rsidP="001F62EC">
            <w:pPr>
              <w:tabs>
                <w:tab w:val="decimal" w:pos="1320"/>
              </w:tabs>
              <w:rPr>
                <w:snapToGrid w:val="0"/>
                <w:color w:val="000000"/>
              </w:rPr>
            </w:pPr>
            <w:r>
              <w:rPr>
                <w:snapToGrid w:val="0"/>
                <w:color w:val="000000"/>
              </w:rPr>
              <w:t>1,460,207</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3773A26F" w:rsidR="001F62EC" w:rsidRPr="00EB7BF0" w:rsidRDefault="00662C05" w:rsidP="001F62EC">
            <w:pPr>
              <w:tabs>
                <w:tab w:val="decimal" w:pos="1500"/>
              </w:tabs>
              <w:rPr>
                <w:snapToGrid w:val="0"/>
                <w:color w:val="000000"/>
              </w:rPr>
            </w:pPr>
            <w:r>
              <w:rPr>
                <w:snapToGrid w:val="0"/>
                <w:color w:val="000000"/>
              </w:rPr>
              <w:t>156,240</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25B6BCCF" w:rsidR="001F62EC" w:rsidRPr="00E74795" w:rsidRDefault="00054F5F" w:rsidP="001F62EC">
            <w:pPr>
              <w:tabs>
                <w:tab w:val="decimal" w:pos="1320"/>
              </w:tabs>
              <w:rPr>
                <w:snapToGrid w:val="0"/>
                <w:color w:val="000000"/>
              </w:rPr>
            </w:pPr>
            <w:r>
              <w:rPr>
                <w:snapToGrid w:val="0"/>
                <w:color w:val="000000"/>
              </w:rPr>
              <w:t>36,137,175</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7FE9D9A9" w:rsidR="001F62EC" w:rsidRPr="00E74795" w:rsidRDefault="00662C05" w:rsidP="001F62EC">
            <w:pPr>
              <w:tabs>
                <w:tab w:val="decimal" w:pos="1500"/>
              </w:tabs>
              <w:rPr>
                <w:snapToGrid w:val="0"/>
                <w:color w:val="000000"/>
              </w:rPr>
            </w:pPr>
            <w:r>
              <w:rPr>
                <w:snapToGrid w:val="0"/>
                <w:color w:val="000000"/>
              </w:rPr>
              <w:t>11,629,116</w:t>
            </w:r>
          </w:p>
        </w:tc>
      </w:tr>
      <w:tr w:rsidR="001F62EC" w:rsidRPr="00EB7BF0" w14:paraId="71A35CD8" w14:textId="77777777" w:rsidTr="001F62EC">
        <w:trPr>
          <w:trHeight w:hRule="exact" w:val="230"/>
        </w:trPr>
        <w:tc>
          <w:tcPr>
            <w:tcW w:w="6120" w:type="dxa"/>
            <w:gridSpan w:val="3"/>
          </w:tcPr>
          <w:p w14:paraId="6E3EC1EB" w14:textId="62496AD5" w:rsidR="001F62EC" w:rsidRPr="00E74795" w:rsidRDefault="001F62EC" w:rsidP="001F62EC">
            <w:pPr>
              <w:rPr>
                <w:b/>
                <w:snapToGrid w:val="0"/>
                <w:color w:val="000000"/>
              </w:rPr>
            </w:pPr>
            <w:r w:rsidRPr="00374FE3">
              <w:rPr>
                <w:snapToGrid w:val="0"/>
                <w:color w:val="000000"/>
              </w:rPr>
              <w:t>Property and equipment, net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09CDBD1D" w:rsidR="001F62EC" w:rsidRPr="00E74795" w:rsidRDefault="00054F5F" w:rsidP="001F62EC">
            <w:pPr>
              <w:tabs>
                <w:tab w:val="decimal" w:pos="1320"/>
              </w:tabs>
              <w:rPr>
                <w:snapToGrid w:val="0"/>
                <w:color w:val="000000"/>
              </w:rPr>
            </w:pPr>
            <w:r>
              <w:rPr>
                <w:snapToGrid w:val="0"/>
                <w:color w:val="000000"/>
              </w:rPr>
              <w:t>248,983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65793DD6" w:rsidR="001F62EC" w:rsidRPr="00E74795" w:rsidRDefault="00662C05" w:rsidP="001F62EC">
            <w:pPr>
              <w:tabs>
                <w:tab w:val="decimal" w:pos="1500"/>
              </w:tabs>
              <w:rPr>
                <w:snapToGrid w:val="0"/>
                <w:color w:val="000000"/>
              </w:rPr>
            </w:pPr>
            <w:r>
              <w:rPr>
                <w:snapToGrid w:val="0"/>
                <w:color w:val="000000"/>
              </w:rPr>
              <w:t>156,938</w:t>
            </w:r>
          </w:p>
        </w:tc>
      </w:tr>
      <w:tr w:rsidR="001F62EC" w:rsidRPr="00EB7BF0" w14:paraId="53468FCE" w14:textId="77777777" w:rsidTr="001F62EC">
        <w:trPr>
          <w:trHeight w:hRule="exact" w:val="230"/>
        </w:trPr>
        <w:tc>
          <w:tcPr>
            <w:tcW w:w="6120" w:type="dxa"/>
            <w:gridSpan w:val="3"/>
          </w:tcPr>
          <w:p w14:paraId="232DB5B1" w14:textId="205F547B" w:rsidR="001F62EC" w:rsidRPr="00E74795" w:rsidRDefault="007520EB" w:rsidP="001F62EC">
            <w:pPr>
              <w:rPr>
                <w:snapToGrid w:val="0"/>
                <w:color w:val="000000"/>
              </w:rPr>
            </w:pPr>
            <w:r>
              <w:rPr>
                <w:snapToGrid w:val="0"/>
                <w:color w:val="000000"/>
              </w:rPr>
              <w:t>O</w:t>
            </w:r>
            <w:r w:rsidR="00986D87">
              <w:rPr>
                <w:snapToGrid w:val="0"/>
                <w:color w:val="000000"/>
              </w:rPr>
              <w:t>ther assets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74C5E382" w:rsidR="001F62EC" w:rsidRPr="00E74795" w:rsidRDefault="00054F5F" w:rsidP="001F62EC">
            <w:pPr>
              <w:tabs>
                <w:tab w:val="decimal" w:pos="1320"/>
              </w:tabs>
              <w:rPr>
                <w:snapToGrid w:val="0"/>
                <w:color w:val="000000"/>
              </w:rPr>
            </w:pPr>
            <w:r>
              <w:rPr>
                <w:snapToGrid w:val="0"/>
                <w:color w:val="000000"/>
              </w:rPr>
              <w:t>2,184,286</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1B2883F8"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54F5F">
              <w:rPr>
                <w:snapToGrid w:val="0"/>
                <w:color w:val="000000"/>
              </w:rPr>
              <w:t>38,570,444</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693547B"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62C05">
              <w:rPr>
                <w:snapToGrid w:val="0"/>
                <w:color w:val="000000"/>
              </w:rPr>
              <w:t>11,797,064</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65DFDBB4" w:rsidR="001F62EC" w:rsidRPr="00E74795" w:rsidRDefault="001F62EC" w:rsidP="001F62EC">
            <w:pPr>
              <w:rPr>
                <w:snapToGrid w:val="0"/>
                <w:color w:val="000000"/>
              </w:rPr>
            </w:pPr>
            <w:r w:rsidRPr="00374FE3">
              <w:rPr>
                <w:snapToGrid w:val="0"/>
                <w:color w:val="000000"/>
              </w:rPr>
              <w:t>LIABILITIES AND STOCKHOLDERS’ EQUIT</w:t>
            </w:r>
            <w:r w:rsidR="00B158D9">
              <w:rPr>
                <w:snapToGrid w:val="0"/>
                <w:color w:val="000000"/>
              </w:rPr>
              <w:t>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52A91273"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54F5F">
              <w:rPr>
                <w:snapToGrid w:val="0"/>
                <w:color w:val="000000"/>
              </w:rPr>
              <w:t>1,079,421</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1AE5CB45"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662C05">
              <w:rPr>
                <w:snapToGrid w:val="0"/>
                <w:color w:val="000000"/>
              </w:rPr>
              <w:t>2,057,534</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28AF8C15" w:rsidR="001F62EC" w:rsidRPr="00A967B3" w:rsidRDefault="001F62EC" w:rsidP="001F62EC">
            <w:pPr>
              <w:rPr>
                <w:snapToGrid w:val="0"/>
                <w:color w:val="000000"/>
              </w:rPr>
            </w:pPr>
            <w:r w:rsidRPr="00A967B3">
              <w:rPr>
                <w:snapToGrid w:val="0"/>
                <w:color w:val="000000"/>
              </w:rPr>
              <w:t>Accrued expenses</w:t>
            </w:r>
          </w:p>
        </w:tc>
        <w:tc>
          <w:tcPr>
            <w:tcW w:w="90" w:type="dxa"/>
          </w:tcPr>
          <w:p w14:paraId="11C759E6" w14:textId="77777777" w:rsidR="001F62EC" w:rsidRPr="00A967B3" w:rsidRDefault="001F62EC" w:rsidP="001F62EC">
            <w:pPr>
              <w:jc w:val="right"/>
              <w:rPr>
                <w:snapToGrid w:val="0"/>
                <w:color w:val="000000"/>
              </w:rPr>
            </w:pPr>
          </w:p>
        </w:tc>
        <w:tc>
          <w:tcPr>
            <w:tcW w:w="1710" w:type="dxa"/>
          </w:tcPr>
          <w:p w14:paraId="27D090AB" w14:textId="546B0D66" w:rsidR="001F62EC" w:rsidRPr="00A967B3" w:rsidRDefault="00054F5F" w:rsidP="001F62EC">
            <w:pPr>
              <w:tabs>
                <w:tab w:val="decimal" w:pos="1320"/>
              </w:tabs>
              <w:rPr>
                <w:snapToGrid w:val="0"/>
                <w:color w:val="000000"/>
              </w:rPr>
            </w:pPr>
            <w:r>
              <w:rPr>
                <w:snapToGrid w:val="0"/>
                <w:color w:val="000000"/>
              </w:rPr>
              <w:t>3,</w:t>
            </w:r>
            <w:r w:rsidR="00D12423">
              <w:rPr>
                <w:snapToGrid w:val="0"/>
                <w:color w:val="000000"/>
              </w:rPr>
              <w:t>709</w:t>
            </w:r>
            <w:r>
              <w:rPr>
                <w:snapToGrid w:val="0"/>
                <w:color w:val="000000"/>
              </w:rPr>
              <w:t>,984</w:t>
            </w:r>
          </w:p>
        </w:tc>
        <w:tc>
          <w:tcPr>
            <w:tcW w:w="270" w:type="dxa"/>
          </w:tcPr>
          <w:p w14:paraId="074AA7DF" w14:textId="77777777" w:rsidR="001F62EC" w:rsidRPr="00A967B3" w:rsidRDefault="001F62EC" w:rsidP="001F62EC">
            <w:pPr>
              <w:jc w:val="right"/>
              <w:rPr>
                <w:snapToGrid w:val="0"/>
                <w:color w:val="000000"/>
              </w:rPr>
            </w:pPr>
          </w:p>
        </w:tc>
        <w:tc>
          <w:tcPr>
            <w:tcW w:w="1890" w:type="dxa"/>
          </w:tcPr>
          <w:p w14:paraId="5616CEE2" w14:textId="14156E6C" w:rsidR="001F62EC" w:rsidRPr="00E74795" w:rsidRDefault="00662C05" w:rsidP="001F62EC">
            <w:pPr>
              <w:tabs>
                <w:tab w:val="decimal" w:pos="1500"/>
              </w:tabs>
              <w:rPr>
                <w:snapToGrid w:val="0"/>
                <w:color w:val="000000"/>
              </w:rPr>
            </w:pPr>
            <w:r w:rsidRPr="00A967B3">
              <w:rPr>
                <w:snapToGrid w:val="0"/>
                <w:color w:val="000000"/>
              </w:rPr>
              <w:t>3,377,826</w:t>
            </w:r>
          </w:p>
        </w:tc>
      </w:tr>
      <w:tr w:rsidR="001F62EC" w:rsidRPr="00EB7BF0" w14:paraId="6DA53DFF" w14:textId="77777777" w:rsidTr="00662C05">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29EDE6E9" w:rsidR="001F62EC" w:rsidRPr="00E74795" w:rsidRDefault="00054F5F" w:rsidP="001F62EC">
            <w:pPr>
              <w:tabs>
                <w:tab w:val="decimal" w:pos="1320"/>
              </w:tabs>
              <w:rPr>
                <w:snapToGrid w:val="0"/>
                <w:color w:val="000000"/>
              </w:rPr>
            </w:pPr>
            <w:r>
              <w:rPr>
                <w:snapToGrid w:val="0"/>
                <w:color w:val="000000"/>
              </w:rPr>
              <w:t>4,7</w:t>
            </w:r>
            <w:r w:rsidR="00D12423">
              <w:rPr>
                <w:snapToGrid w:val="0"/>
                <w:color w:val="000000"/>
              </w:rPr>
              <w:t>8</w:t>
            </w:r>
            <w:r>
              <w:rPr>
                <w:snapToGrid w:val="0"/>
                <w:color w:val="000000"/>
              </w:rPr>
              <w:t>9,405</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33B9FFC5" w:rsidR="001F62EC" w:rsidRPr="00E74795" w:rsidRDefault="00662C05" w:rsidP="001F62EC">
            <w:pPr>
              <w:tabs>
                <w:tab w:val="decimal" w:pos="1500"/>
              </w:tabs>
              <w:rPr>
                <w:snapToGrid w:val="0"/>
                <w:color w:val="000000"/>
              </w:rPr>
            </w:pPr>
            <w:r>
              <w:rPr>
                <w:snapToGrid w:val="0"/>
                <w:color w:val="000000"/>
              </w:rPr>
              <w:t>5,435,360</w:t>
            </w:r>
          </w:p>
        </w:tc>
      </w:tr>
      <w:tr w:rsidR="001F62EC" w:rsidRPr="00EB7BF0" w14:paraId="779FCC2C" w14:textId="77777777" w:rsidTr="001F62EC">
        <w:trPr>
          <w:trHeight w:hRule="exact" w:val="230"/>
        </w:trPr>
        <w:tc>
          <w:tcPr>
            <w:tcW w:w="6120" w:type="dxa"/>
            <w:gridSpan w:val="3"/>
          </w:tcPr>
          <w:p w14:paraId="77485CFD" w14:textId="04EAD9D1" w:rsidR="001F62EC" w:rsidRPr="00E74795" w:rsidRDefault="007520EB" w:rsidP="001F62EC">
            <w:pPr>
              <w:rPr>
                <w:snapToGrid w:val="0"/>
                <w:color w:val="000000"/>
              </w:rPr>
            </w:pPr>
            <w:r>
              <w:rPr>
                <w:snapToGrid w:val="0"/>
                <w:color w:val="000000"/>
              </w:rPr>
              <w:t>Other liabilities</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7EB825AA" w:rsidR="001F62EC" w:rsidRPr="00E74795" w:rsidRDefault="00054F5F" w:rsidP="001F62EC">
            <w:pPr>
              <w:tabs>
                <w:tab w:val="decimal" w:pos="1320"/>
              </w:tabs>
              <w:rPr>
                <w:snapToGrid w:val="0"/>
                <w:color w:val="000000"/>
              </w:rPr>
            </w:pPr>
            <w:r>
              <w:rPr>
                <w:snapToGrid w:val="0"/>
                <w:color w:val="000000"/>
              </w:rPr>
              <w:t>2,000,000</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5CF006F2" w:rsidR="001F62EC" w:rsidRPr="00E74795" w:rsidRDefault="00662C05" w:rsidP="001F62EC">
            <w:pPr>
              <w:tabs>
                <w:tab w:val="decimal" w:pos="1500"/>
              </w:tabs>
              <w:rPr>
                <w:snapToGrid w:val="0"/>
                <w:color w:val="000000"/>
              </w:rPr>
            </w:pPr>
            <w:r>
              <w:rPr>
                <w:snapToGrid w:val="0"/>
                <w:color w:val="000000"/>
              </w:rPr>
              <w:t>2,000,000</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26C03EDB" w:rsidR="001F62EC" w:rsidRPr="00E74795" w:rsidRDefault="00054F5F" w:rsidP="001F62EC">
            <w:pPr>
              <w:tabs>
                <w:tab w:val="decimal" w:pos="1320"/>
              </w:tabs>
              <w:rPr>
                <w:snapToGrid w:val="0"/>
                <w:color w:val="000000"/>
              </w:rPr>
            </w:pPr>
            <w:r>
              <w:rPr>
                <w:snapToGrid w:val="0"/>
                <w:color w:val="000000"/>
              </w:rPr>
              <w:t>6,7</w:t>
            </w:r>
            <w:r w:rsidR="00D12423">
              <w:rPr>
                <w:snapToGrid w:val="0"/>
                <w:color w:val="000000"/>
              </w:rPr>
              <w:t>8</w:t>
            </w:r>
            <w:r>
              <w:rPr>
                <w:snapToGrid w:val="0"/>
                <w:color w:val="000000"/>
              </w:rPr>
              <w:t>9,405</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6D258C9A" w:rsidR="001F62EC" w:rsidRPr="00E74795" w:rsidRDefault="00662C05" w:rsidP="001F62EC">
            <w:pPr>
              <w:tabs>
                <w:tab w:val="decimal" w:pos="1500"/>
              </w:tabs>
              <w:rPr>
                <w:snapToGrid w:val="0"/>
                <w:color w:val="000000"/>
              </w:rPr>
            </w:pPr>
            <w:r>
              <w:rPr>
                <w:snapToGrid w:val="0"/>
                <w:color w:val="000000"/>
              </w:rPr>
              <w:t>7,435,360</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531664AE" w:rsidR="001F62EC" w:rsidRPr="00E74795" w:rsidRDefault="001F62EC" w:rsidP="001F62EC">
            <w:pPr>
              <w:rPr>
                <w:snapToGrid w:val="0"/>
                <w:color w:val="000000"/>
              </w:rPr>
            </w:pPr>
            <w:r w:rsidRPr="00B06A07">
              <w:rPr>
                <w:snapToGrid w:val="0"/>
                <w:color w:val="000000"/>
              </w:rPr>
              <w:t xml:space="preserve">Commitments (Note </w:t>
            </w:r>
            <w:r w:rsidR="0079083A" w:rsidRPr="00B06A07">
              <w:rPr>
                <w:snapToGrid w:val="0"/>
                <w:color w:val="000000"/>
              </w:rPr>
              <w:t>4</w:t>
            </w:r>
            <w:r w:rsidRPr="00B06A07">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00120E0" w:rsidR="001F62EC" w:rsidRPr="00E74795" w:rsidRDefault="001F62EC" w:rsidP="001F62EC">
            <w:pPr>
              <w:rPr>
                <w:snapToGrid w:val="0"/>
                <w:color w:val="000000"/>
              </w:rPr>
            </w:pPr>
            <w:r w:rsidRPr="00374FE3">
              <w:rPr>
                <w:snapToGrid w:val="0"/>
                <w:color w:val="000000"/>
              </w:rPr>
              <w:t>Stockholders’ equity: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7"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43387E48"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DA08C0">
              <w:rPr>
                <w:snapToGrid w:val="0"/>
                <w:color w:val="000000"/>
              </w:rPr>
              <w:t>26,334,953</w:t>
            </w:r>
            <w:r w:rsidRPr="00374FE3">
              <w:rPr>
                <w:snapToGrid w:val="0"/>
                <w:color w:val="000000"/>
              </w:rPr>
              <w:t xml:space="preserve"> and </w:t>
            </w:r>
            <w:r w:rsidR="00D174BC">
              <w:rPr>
                <w:snapToGrid w:val="0"/>
                <w:color w:val="000000"/>
              </w:rPr>
              <w:t>6,381,541</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5DD8C97D" w:rsidR="001F62EC" w:rsidRPr="00E74795" w:rsidRDefault="001F62EC" w:rsidP="001F62EC">
            <w:pPr>
              <w:tabs>
                <w:tab w:val="left" w:pos="203"/>
              </w:tabs>
              <w:rPr>
                <w:snapToGrid w:val="0"/>
                <w:color w:val="000000"/>
              </w:rPr>
            </w:pPr>
            <w:r w:rsidRPr="00374FE3">
              <w:rPr>
                <w:snapToGrid w:val="0"/>
                <w:color w:val="000000"/>
              </w:rPr>
              <w:tab/>
            </w:r>
            <w:r w:rsidR="002D363C">
              <w:rPr>
                <w:snapToGrid w:val="0"/>
                <w:color w:val="000000"/>
              </w:rPr>
              <w:t>September</w:t>
            </w:r>
            <w:r w:rsidRPr="00374FE3">
              <w:rPr>
                <w:snapToGrid w:val="0"/>
                <w:color w:val="000000"/>
              </w:rPr>
              <w:t xml:space="preserve"> 3</w:t>
            </w:r>
            <w:r w:rsidR="00833915">
              <w:rPr>
                <w:snapToGrid w:val="0"/>
                <w:color w:val="000000"/>
              </w:rPr>
              <w:t>0</w:t>
            </w:r>
            <w:r w:rsidRPr="00374FE3">
              <w:rPr>
                <w:snapToGrid w:val="0"/>
                <w:color w:val="000000"/>
              </w:rPr>
              <w:t>, 20</w:t>
            </w:r>
            <w:r w:rsidR="004F479E">
              <w:rPr>
                <w:snapToGrid w:val="0"/>
                <w:color w:val="000000"/>
              </w:rPr>
              <w:t>2</w:t>
            </w:r>
            <w:r w:rsidR="00662C05">
              <w:rPr>
                <w:snapToGrid w:val="0"/>
                <w:color w:val="000000"/>
              </w:rPr>
              <w:t>2</w:t>
            </w:r>
            <w:r w:rsidRPr="00374FE3">
              <w:rPr>
                <w:snapToGrid w:val="0"/>
                <w:color w:val="000000"/>
              </w:rPr>
              <w:t xml:space="preserve"> and </w:t>
            </w:r>
            <w:r>
              <w:rPr>
                <w:snapToGrid w:val="0"/>
                <w:color w:val="000000"/>
              </w:rPr>
              <w:t xml:space="preserve">December 31, </w:t>
            </w:r>
            <w:r w:rsidRPr="00374FE3">
              <w:rPr>
                <w:snapToGrid w:val="0"/>
                <w:color w:val="000000"/>
              </w:rPr>
              <w:t>20</w:t>
            </w:r>
            <w:r w:rsidR="00B158D9">
              <w:rPr>
                <w:snapToGrid w:val="0"/>
                <w:color w:val="000000"/>
              </w:rPr>
              <w:t>2</w:t>
            </w:r>
            <w:r w:rsidR="00662C05">
              <w:rPr>
                <w:snapToGrid w:val="0"/>
                <w:color w:val="000000"/>
              </w:rPr>
              <w:t>1</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0B79B673" w:rsidR="001F62EC" w:rsidRPr="00E74795" w:rsidRDefault="00054F5F" w:rsidP="001F62EC">
            <w:pPr>
              <w:tabs>
                <w:tab w:val="decimal" w:pos="1320"/>
              </w:tabs>
              <w:rPr>
                <w:snapToGrid w:val="0"/>
                <w:color w:val="000000"/>
              </w:rPr>
            </w:pPr>
            <w:r>
              <w:rPr>
                <w:snapToGrid w:val="0"/>
                <w:color w:val="000000"/>
              </w:rPr>
              <w:t>26,335</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5D0AB71C" w:rsidR="001F62EC" w:rsidRPr="00E74795" w:rsidRDefault="00662C05" w:rsidP="001F62EC">
            <w:pPr>
              <w:tabs>
                <w:tab w:val="decimal" w:pos="1500"/>
              </w:tabs>
              <w:rPr>
                <w:snapToGrid w:val="0"/>
                <w:color w:val="000000"/>
              </w:rPr>
            </w:pPr>
            <w:r>
              <w:rPr>
                <w:snapToGrid w:val="0"/>
                <w:color w:val="000000"/>
              </w:rPr>
              <w:t>6,382</w:t>
            </w:r>
          </w:p>
        </w:tc>
      </w:tr>
      <w:bookmarkEnd w:id="7"/>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1E4598DE" w:rsidR="001F62EC" w:rsidRPr="00E74795" w:rsidRDefault="00054F5F" w:rsidP="001F62EC">
            <w:pPr>
              <w:tabs>
                <w:tab w:val="decimal" w:pos="1320"/>
              </w:tabs>
              <w:rPr>
                <w:snapToGrid w:val="0"/>
                <w:color w:val="000000"/>
              </w:rPr>
            </w:pPr>
            <w:r>
              <w:rPr>
                <w:snapToGrid w:val="0"/>
                <w:color w:val="000000"/>
              </w:rPr>
              <w:t>104,767,918</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5C1C0BAD" w:rsidR="001F62EC" w:rsidRPr="00E74795" w:rsidRDefault="00662C05" w:rsidP="001F62EC">
            <w:pPr>
              <w:tabs>
                <w:tab w:val="decimal" w:pos="1500"/>
              </w:tabs>
              <w:rPr>
                <w:snapToGrid w:val="0"/>
                <w:color w:val="000000"/>
              </w:rPr>
            </w:pPr>
            <w:r>
              <w:rPr>
                <w:snapToGrid w:val="0"/>
                <w:color w:val="000000"/>
              </w:rPr>
              <w:t>68,731,220</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3838129A" w:rsidR="001F62EC" w:rsidRPr="00E74795" w:rsidRDefault="00054F5F" w:rsidP="001F62EC">
            <w:pPr>
              <w:tabs>
                <w:tab w:val="decimal" w:pos="1320"/>
              </w:tabs>
              <w:rPr>
                <w:snapToGrid w:val="0"/>
                <w:color w:val="000000"/>
              </w:rPr>
            </w:pPr>
            <w:r>
              <w:rPr>
                <w:snapToGrid w:val="0"/>
                <w:color w:val="000000"/>
              </w:rPr>
              <w:t>(7</w:t>
            </w:r>
            <w:r w:rsidR="00D12423">
              <w:rPr>
                <w:snapToGrid w:val="0"/>
                <w:color w:val="000000"/>
              </w:rPr>
              <w:t>3,01</w:t>
            </w:r>
            <w:r>
              <w:rPr>
                <w:snapToGrid w:val="0"/>
                <w:color w:val="000000"/>
              </w:rPr>
              <w:t>3,214)</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50F30BFF" w:rsidR="001F62EC" w:rsidRPr="00E74795" w:rsidRDefault="001F62EC" w:rsidP="001F62EC">
            <w:pPr>
              <w:tabs>
                <w:tab w:val="decimal" w:pos="1500"/>
              </w:tabs>
              <w:rPr>
                <w:snapToGrid w:val="0"/>
                <w:color w:val="000000"/>
              </w:rPr>
            </w:pPr>
            <w:r w:rsidRPr="00E74795">
              <w:rPr>
                <w:snapToGrid w:val="0"/>
                <w:color w:val="000000"/>
              </w:rPr>
              <w:t>(</w:t>
            </w:r>
            <w:r w:rsidR="00662C05">
              <w:rPr>
                <w:snapToGrid w:val="0"/>
                <w:color w:val="000000"/>
              </w:rPr>
              <w:t>64,375,898</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633A93EE" w:rsidR="001F62EC" w:rsidRPr="00E74795" w:rsidRDefault="001F62EC" w:rsidP="001F62EC">
            <w:pPr>
              <w:rPr>
                <w:snapToGrid w:val="0"/>
                <w:color w:val="000000"/>
              </w:rPr>
            </w:pPr>
            <w:r w:rsidRPr="00374FE3">
              <w:rPr>
                <w:snapToGrid w:val="0"/>
                <w:color w:val="000000"/>
              </w:rPr>
              <w:t>Total stockholders’ equity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5A2E7CE1" w:rsidR="001F62EC" w:rsidRPr="00E74795" w:rsidRDefault="00054F5F" w:rsidP="001F62EC">
            <w:pPr>
              <w:tabs>
                <w:tab w:val="decimal" w:pos="1320"/>
              </w:tabs>
              <w:rPr>
                <w:snapToGrid w:val="0"/>
                <w:color w:val="000000"/>
              </w:rPr>
            </w:pPr>
            <w:r>
              <w:rPr>
                <w:snapToGrid w:val="0"/>
                <w:color w:val="000000"/>
              </w:rPr>
              <w:t>31,</w:t>
            </w:r>
            <w:r w:rsidR="00D12423">
              <w:rPr>
                <w:snapToGrid w:val="0"/>
                <w:color w:val="000000"/>
              </w:rPr>
              <w:t>781</w:t>
            </w:r>
            <w:r>
              <w:rPr>
                <w:snapToGrid w:val="0"/>
                <w:color w:val="000000"/>
              </w:rPr>
              <w:t>,039</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7D9B64C3" w:rsidR="001F62EC" w:rsidRPr="00E74795" w:rsidRDefault="00662C05" w:rsidP="001F62EC">
            <w:pPr>
              <w:tabs>
                <w:tab w:val="decimal" w:pos="1500"/>
              </w:tabs>
              <w:rPr>
                <w:snapToGrid w:val="0"/>
                <w:color w:val="000000"/>
              </w:rPr>
            </w:pPr>
            <w:r>
              <w:rPr>
                <w:snapToGrid w:val="0"/>
                <w:color w:val="000000"/>
              </w:rPr>
              <w:t>4,361,704</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540281E0" w:rsidR="001F62EC" w:rsidRPr="00E74795" w:rsidRDefault="001F62EC" w:rsidP="001F62EC">
            <w:pPr>
              <w:rPr>
                <w:snapToGrid w:val="0"/>
                <w:color w:val="000000"/>
              </w:rPr>
            </w:pPr>
            <w:r w:rsidRPr="00374FE3">
              <w:rPr>
                <w:snapToGrid w:val="0"/>
                <w:color w:val="000000"/>
              </w:rPr>
              <w:t>Total liabilities and stockholders’ equity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6D7A5F00"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54F5F">
              <w:rPr>
                <w:snapToGrid w:val="0"/>
                <w:color w:val="000000"/>
              </w:rPr>
              <w:t>38,570,444</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1B948F85"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662C05">
              <w:rPr>
                <w:snapToGrid w:val="0"/>
                <w:color w:val="000000"/>
              </w:rPr>
              <w:t>11,797,064</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0E34125" w14:textId="77777777" w:rsidR="00F06223" w:rsidRDefault="00F06223" w:rsidP="00315051">
      <w:pPr>
        <w:tabs>
          <w:tab w:val="left" w:pos="1080"/>
          <w:tab w:val="left" w:pos="1260"/>
          <w:tab w:val="left" w:pos="2340"/>
          <w:tab w:val="right" w:pos="9180"/>
        </w:tabs>
        <w:ind w:right="54"/>
        <w:jc w:val="center"/>
        <w:rPr>
          <w:snapToGrid w:val="0"/>
          <w:color w:val="000000"/>
        </w:rPr>
      </w:pPr>
    </w:p>
    <w:p w14:paraId="740FB73F" w14:textId="77777777" w:rsidR="00F06223" w:rsidRDefault="00F06223" w:rsidP="00315051">
      <w:pPr>
        <w:tabs>
          <w:tab w:val="left" w:pos="1080"/>
          <w:tab w:val="left" w:pos="1260"/>
          <w:tab w:val="left" w:pos="2340"/>
          <w:tab w:val="right" w:pos="9180"/>
        </w:tabs>
        <w:ind w:right="54"/>
        <w:jc w:val="center"/>
        <w:rPr>
          <w:snapToGrid w:val="0"/>
          <w:color w:val="000000"/>
        </w:rPr>
      </w:pPr>
    </w:p>
    <w:p w14:paraId="604DF39D" w14:textId="39470175"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236226C7" w14:textId="77777777" w:rsidR="0034086E" w:rsidRPr="00212F30" w:rsidRDefault="0034086E" w:rsidP="0034086E">
      <w:pPr>
        <w:tabs>
          <w:tab w:val="left" w:pos="1080"/>
          <w:tab w:val="left" w:pos="1260"/>
          <w:tab w:val="left" w:pos="2340"/>
          <w:tab w:val="right" w:pos="9180"/>
        </w:tabs>
        <w:ind w:right="-360"/>
      </w:pPr>
    </w:p>
    <w:p w14:paraId="07765CD7"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GEOVAX LABS, INC.</w:t>
      </w:r>
    </w:p>
    <w:p w14:paraId="62D44E97"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CONDENSED CONSOLIDATED STATEMENTS OF OPERATIONS</w:t>
      </w:r>
    </w:p>
    <w:p w14:paraId="05D7D053" w14:textId="77777777" w:rsidR="0034086E" w:rsidRPr="00BA4187" w:rsidRDefault="0034086E" w:rsidP="0034086E">
      <w:pPr>
        <w:tabs>
          <w:tab w:val="left" w:pos="1080"/>
          <w:tab w:val="left" w:pos="1260"/>
          <w:tab w:val="left" w:pos="2340"/>
          <w:tab w:val="right" w:pos="9180"/>
        </w:tabs>
        <w:ind w:right="-360"/>
        <w:jc w:val="center"/>
        <w:rPr>
          <w:b/>
        </w:rPr>
      </w:pPr>
      <w:r w:rsidRPr="00BA4187">
        <w:rPr>
          <w:b/>
        </w:rPr>
        <w:t>(Unaudited)</w:t>
      </w:r>
    </w:p>
    <w:p w14:paraId="435FAEFC" w14:textId="77777777" w:rsidR="0034086E" w:rsidRPr="00BA4187" w:rsidRDefault="0034086E" w:rsidP="0034086E">
      <w:pPr>
        <w:tabs>
          <w:tab w:val="left" w:pos="1080"/>
          <w:tab w:val="left" w:pos="1260"/>
          <w:tab w:val="left" w:pos="2340"/>
          <w:tab w:val="right" w:pos="9180"/>
        </w:tabs>
        <w:ind w:right="-360"/>
        <w:jc w:val="center"/>
      </w:pPr>
    </w:p>
    <w:p w14:paraId="6BFE5860" w14:textId="77777777" w:rsidR="002D363C" w:rsidRDefault="002D363C" w:rsidP="002D363C">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2D363C" w:rsidRPr="000D3DC5" w14:paraId="587C7BE8" w14:textId="77777777" w:rsidTr="00B55AAE">
        <w:tc>
          <w:tcPr>
            <w:tcW w:w="378" w:type="dxa"/>
          </w:tcPr>
          <w:p w14:paraId="179141E7" w14:textId="77777777" w:rsidR="002D363C" w:rsidRPr="000D3DC5" w:rsidRDefault="002D363C" w:rsidP="00B55AAE">
            <w:pPr>
              <w:ind w:right="-360"/>
            </w:pPr>
          </w:p>
        </w:tc>
        <w:tc>
          <w:tcPr>
            <w:tcW w:w="450" w:type="dxa"/>
          </w:tcPr>
          <w:p w14:paraId="3A9A0B77" w14:textId="77777777" w:rsidR="002D363C" w:rsidRPr="000D3DC5" w:rsidRDefault="002D363C" w:rsidP="00B55AAE">
            <w:pPr>
              <w:ind w:right="-360"/>
            </w:pPr>
          </w:p>
        </w:tc>
        <w:tc>
          <w:tcPr>
            <w:tcW w:w="450" w:type="dxa"/>
          </w:tcPr>
          <w:p w14:paraId="42B6B82F" w14:textId="77777777" w:rsidR="002D363C" w:rsidRPr="000D3DC5" w:rsidRDefault="002D363C" w:rsidP="00B55AAE">
            <w:pPr>
              <w:ind w:right="-360"/>
            </w:pPr>
          </w:p>
        </w:tc>
        <w:tc>
          <w:tcPr>
            <w:tcW w:w="2160" w:type="dxa"/>
          </w:tcPr>
          <w:p w14:paraId="76C4C8C0" w14:textId="77777777" w:rsidR="002D363C" w:rsidRPr="000D3DC5" w:rsidRDefault="002D363C" w:rsidP="00B55AAE">
            <w:pPr>
              <w:tabs>
                <w:tab w:val="right" w:pos="9180"/>
              </w:tabs>
              <w:ind w:right="-360"/>
            </w:pPr>
          </w:p>
        </w:tc>
        <w:tc>
          <w:tcPr>
            <w:tcW w:w="3240" w:type="dxa"/>
            <w:gridSpan w:val="3"/>
            <w:tcBorders>
              <w:bottom w:val="single" w:sz="4" w:space="0" w:color="auto"/>
            </w:tcBorders>
          </w:tcPr>
          <w:p w14:paraId="76565A3E" w14:textId="77777777" w:rsidR="002D363C" w:rsidRDefault="002D363C" w:rsidP="00B55AAE">
            <w:pPr>
              <w:tabs>
                <w:tab w:val="right" w:pos="9180"/>
              </w:tabs>
              <w:ind w:right="-46"/>
              <w:jc w:val="center"/>
            </w:pPr>
            <w:r>
              <w:t>Three Months Ended September 30,</w:t>
            </w:r>
          </w:p>
        </w:tc>
        <w:tc>
          <w:tcPr>
            <w:tcW w:w="450" w:type="dxa"/>
          </w:tcPr>
          <w:p w14:paraId="69D0FD53" w14:textId="77777777" w:rsidR="002D363C" w:rsidRPr="000D3DC5" w:rsidRDefault="002D363C" w:rsidP="00B55AAE">
            <w:pPr>
              <w:tabs>
                <w:tab w:val="right" w:pos="9180"/>
              </w:tabs>
              <w:ind w:right="-360"/>
              <w:jc w:val="center"/>
            </w:pPr>
          </w:p>
        </w:tc>
        <w:tc>
          <w:tcPr>
            <w:tcW w:w="3240" w:type="dxa"/>
            <w:gridSpan w:val="3"/>
            <w:tcBorders>
              <w:bottom w:val="single" w:sz="4" w:space="0" w:color="auto"/>
            </w:tcBorders>
          </w:tcPr>
          <w:p w14:paraId="11933C49" w14:textId="77777777" w:rsidR="002D363C" w:rsidRDefault="002D363C" w:rsidP="00B55AAE">
            <w:pPr>
              <w:tabs>
                <w:tab w:val="right" w:pos="9180"/>
              </w:tabs>
              <w:ind w:right="-18"/>
              <w:jc w:val="center"/>
            </w:pPr>
            <w:r>
              <w:t>Nine Months Ended September 30,</w:t>
            </w:r>
          </w:p>
        </w:tc>
      </w:tr>
      <w:tr w:rsidR="002D363C" w:rsidRPr="000D3DC5" w14:paraId="620959D6" w14:textId="77777777" w:rsidTr="00B55AAE">
        <w:tc>
          <w:tcPr>
            <w:tcW w:w="378" w:type="dxa"/>
          </w:tcPr>
          <w:p w14:paraId="3AAA66BF" w14:textId="77777777" w:rsidR="002D363C" w:rsidRPr="000D3DC5" w:rsidRDefault="002D363C" w:rsidP="00B55AAE">
            <w:pPr>
              <w:ind w:right="-360"/>
            </w:pPr>
          </w:p>
        </w:tc>
        <w:tc>
          <w:tcPr>
            <w:tcW w:w="450" w:type="dxa"/>
          </w:tcPr>
          <w:p w14:paraId="363483B4" w14:textId="77777777" w:rsidR="002D363C" w:rsidRPr="000D3DC5" w:rsidRDefault="002D363C" w:rsidP="00B55AAE">
            <w:pPr>
              <w:ind w:right="-360"/>
            </w:pPr>
          </w:p>
        </w:tc>
        <w:tc>
          <w:tcPr>
            <w:tcW w:w="450" w:type="dxa"/>
          </w:tcPr>
          <w:p w14:paraId="17AD73D3" w14:textId="77777777" w:rsidR="002D363C" w:rsidRPr="000D3DC5" w:rsidRDefault="002D363C" w:rsidP="00B55AAE">
            <w:pPr>
              <w:ind w:right="-360"/>
            </w:pPr>
          </w:p>
        </w:tc>
        <w:tc>
          <w:tcPr>
            <w:tcW w:w="2160" w:type="dxa"/>
          </w:tcPr>
          <w:p w14:paraId="74411A8D" w14:textId="77777777" w:rsidR="002D363C" w:rsidRPr="000D3DC5" w:rsidRDefault="002D363C" w:rsidP="00B55AAE">
            <w:pPr>
              <w:tabs>
                <w:tab w:val="right" w:pos="9180"/>
              </w:tabs>
              <w:ind w:right="-360"/>
            </w:pPr>
          </w:p>
        </w:tc>
        <w:tc>
          <w:tcPr>
            <w:tcW w:w="1530" w:type="dxa"/>
            <w:tcBorders>
              <w:top w:val="single" w:sz="4" w:space="0" w:color="auto"/>
              <w:bottom w:val="single" w:sz="4" w:space="0" w:color="auto"/>
            </w:tcBorders>
          </w:tcPr>
          <w:p w14:paraId="00A47635" w14:textId="5AAD7E55" w:rsidR="002D363C" w:rsidRPr="000D3DC5" w:rsidRDefault="002D363C" w:rsidP="00B55AAE">
            <w:pPr>
              <w:tabs>
                <w:tab w:val="right" w:pos="9180"/>
              </w:tabs>
              <w:ind w:right="-18"/>
              <w:jc w:val="center"/>
            </w:pPr>
            <w:r>
              <w:t>202</w:t>
            </w:r>
            <w:r w:rsidR="009A57D7">
              <w:t>2</w:t>
            </w:r>
          </w:p>
        </w:tc>
        <w:tc>
          <w:tcPr>
            <w:tcW w:w="270" w:type="dxa"/>
            <w:tcBorders>
              <w:top w:val="single" w:sz="4" w:space="0" w:color="auto"/>
            </w:tcBorders>
          </w:tcPr>
          <w:p w14:paraId="405780C8" w14:textId="77777777" w:rsidR="002D363C" w:rsidRPr="000D3DC5" w:rsidRDefault="002D363C" w:rsidP="00B55AAE">
            <w:pPr>
              <w:tabs>
                <w:tab w:val="right" w:pos="9180"/>
              </w:tabs>
              <w:ind w:right="-360"/>
              <w:jc w:val="center"/>
            </w:pPr>
          </w:p>
        </w:tc>
        <w:tc>
          <w:tcPr>
            <w:tcW w:w="1440" w:type="dxa"/>
            <w:tcBorders>
              <w:top w:val="single" w:sz="4" w:space="0" w:color="auto"/>
              <w:bottom w:val="single" w:sz="4" w:space="0" w:color="auto"/>
            </w:tcBorders>
          </w:tcPr>
          <w:p w14:paraId="77F454F7" w14:textId="15D96974" w:rsidR="002D363C" w:rsidRPr="000D3DC5" w:rsidRDefault="002D363C" w:rsidP="00B55AAE">
            <w:pPr>
              <w:tabs>
                <w:tab w:val="right" w:pos="9180"/>
              </w:tabs>
              <w:ind w:right="-46"/>
              <w:jc w:val="center"/>
            </w:pPr>
            <w:r>
              <w:t>2021</w:t>
            </w:r>
          </w:p>
        </w:tc>
        <w:tc>
          <w:tcPr>
            <w:tcW w:w="450" w:type="dxa"/>
          </w:tcPr>
          <w:p w14:paraId="736C8B01" w14:textId="77777777" w:rsidR="002D363C" w:rsidRPr="000D3DC5" w:rsidRDefault="002D363C" w:rsidP="00B55AAE">
            <w:pPr>
              <w:tabs>
                <w:tab w:val="right" w:pos="9180"/>
              </w:tabs>
              <w:ind w:right="-360"/>
              <w:jc w:val="center"/>
            </w:pPr>
          </w:p>
        </w:tc>
        <w:tc>
          <w:tcPr>
            <w:tcW w:w="1440" w:type="dxa"/>
            <w:tcBorders>
              <w:bottom w:val="single" w:sz="4" w:space="0" w:color="auto"/>
            </w:tcBorders>
          </w:tcPr>
          <w:p w14:paraId="261D8832" w14:textId="4C208E21" w:rsidR="002D363C" w:rsidRPr="000D3DC5" w:rsidRDefault="002D363C" w:rsidP="00B55AAE">
            <w:pPr>
              <w:tabs>
                <w:tab w:val="right" w:pos="9180"/>
              </w:tabs>
              <w:ind w:right="-18"/>
              <w:jc w:val="center"/>
            </w:pPr>
            <w:r>
              <w:t>202</w:t>
            </w:r>
            <w:r w:rsidR="009A57D7">
              <w:t>2</w:t>
            </w:r>
          </w:p>
        </w:tc>
        <w:tc>
          <w:tcPr>
            <w:tcW w:w="270" w:type="dxa"/>
          </w:tcPr>
          <w:p w14:paraId="55FEB01E" w14:textId="77777777" w:rsidR="002D363C" w:rsidRPr="000D3DC5" w:rsidRDefault="002D363C" w:rsidP="00B55AAE">
            <w:pPr>
              <w:tabs>
                <w:tab w:val="right" w:pos="9180"/>
              </w:tabs>
              <w:ind w:right="-360"/>
              <w:jc w:val="center"/>
            </w:pPr>
          </w:p>
        </w:tc>
        <w:tc>
          <w:tcPr>
            <w:tcW w:w="1530" w:type="dxa"/>
            <w:tcBorders>
              <w:bottom w:val="single" w:sz="4" w:space="0" w:color="auto"/>
            </w:tcBorders>
          </w:tcPr>
          <w:p w14:paraId="26B75374" w14:textId="39A23717" w:rsidR="002D363C" w:rsidRPr="000D3DC5" w:rsidRDefault="002D363C" w:rsidP="00B55AAE">
            <w:pPr>
              <w:tabs>
                <w:tab w:val="right" w:pos="9180"/>
              </w:tabs>
              <w:ind w:right="-18"/>
              <w:jc w:val="center"/>
            </w:pPr>
            <w:r>
              <w:t>2021</w:t>
            </w:r>
          </w:p>
        </w:tc>
      </w:tr>
      <w:tr w:rsidR="002D363C" w:rsidRPr="000D3DC5" w14:paraId="798EC50B" w14:textId="77777777" w:rsidTr="00B55AAE">
        <w:tc>
          <w:tcPr>
            <w:tcW w:w="3438" w:type="dxa"/>
            <w:gridSpan w:val="4"/>
          </w:tcPr>
          <w:p w14:paraId="1BC858A3" w14:textId="77777777" w:rsidR="002D363C" w:rsidRPr="000D3DC5" w:rsidRDefault="002D363C" w:rsidP="00B55AAE">
            <w:pPr>
              <w:tabs>
                <w:tab w:val="right" w:pos="9180"/>
              </w:tabs>
              <w:ind w:right="-360"/>
            </w:pPr>
            <w:r w:rsidRPr="000D3DC5">
              <w:t>Grant</w:t>
            </w:r>
            <w:r>
              <w:t xml:space="preserve"> and collaboration</w:t>
            </w:r>
            <w:r w:rsidRPr="000D3DC5">
              <w:t xml:space="preserve"> revenue</w:t>
            </w:r>
          </w:p>
        </w:tc>
        <w:tc>
          <w:tcPr>
            <w:tcW w:w="1530" w:type="dxa"/>
          </w:tcPr>
          <w:p w14:paraId="6FFD1C49" w14:textId="0A9B6F5A" w:rsidR="002D363C" w:rsidRPr="000D3DC5" w:rsidRDefault="002D363C" w:rsidP="00B55AAE">
            <w:pPr>
              <w:tabs>
                <w:tab w:val="decimal" w:pos="1152"/>
                <w:tab w:val="right" w:pos="9180"/>
              </w:tabs>
              <w:ind w:right="-18"/>
            </w:pPr>
            <w:r>
              <w:t>$</w:t>
            </w:r>
            <w:r>
              <w:tab/>
            </w:r>
            <w:r w:rsidR="00054F5F">
              <w:t>-</w:t>
            </w:r>
          </w:p>
        </w:tc>
        <w:tc>
          <w:tcPr>
            <w:tcW w:w="270" w:type="dxa"/>
          </w:tcPr>
          <w:p w14:paraId="5C3309C3" w14:textId="77777777" w:rsidR="002D363C" w:rsidRPr="000D3DC5" w:rsidRDefault="002D363C" w:rsidP="00B55AAE">
            <w:pPr>
              <w:tabs>
                <w:tab w:val="right" w:pos="9180"/>
              </w:tabs>
              <w:ind w:right="-360"/>
            </w:pPr>
          </w:p>
        </w:tc>
        <w:tc>
          <w:tcPr>
            <w:tcW w:w="1440" w:type="dxa"/>
          </w:tcPr>
          <w:p w14:paraId="2D0A77C0" w14:textId="4E4DBF6A" w:rsidR="002D363C" w:rsidRPr="000D3DC5" w:rsidRDefault="002D363C" w:rsidP="00B55AAE">
            <w:pPr>
              <w:tabs>
                <w:tab w:val="decimal" w:pos="1062"/>
                <w:tab w:val="right" w:pos="9180"/>
              </w:tabs>
              <w:ind w:right="-46"/>
            </w:pPr>
            <w:r>
              <w:t>$</w:t>
            </w:r>
            <w:r>
              <w:tab/>
              <w:t>30,414</w:t>
            </w:r>
          </w:p>
        </w:tc>
        <w:tc>
          <w:tcPr>
            <w:tcW w:w="450" w:type="dxa"/>
          </w:tcPr>
          <w:p w14:paraId="05A0C889" w14:textId="77777777" w:rsidR="002D363C" w:rsidRPr="000D3DC5" w:rsidRDefault="002D363C" w:rsidP="00B55AAE">
            <w:pPr>
              <w:tabs>
                <w:tab w:val="right" w:pos="9180"/>
              </w:tabs>
              <w:ind w:right="-360"/>
            </w:pPr>
          </w:p>
        </w:tc>
        <w:tc>
          <w:tcPr>
            <w:tcW w:w="1440" w:type="dxa"/>
          </w:tcPr>
          <w:p w14:paraId="0439E3B3" w14:textId="762B641E" w:rsidR="002D363C" w:rsidRPr="000D3DC5" w:rsidRDefault="002D363C" w:rsidP="00B55AAE">
            <w:pPr>
              <w:tabs>
                <w:tab w:val="decimal" w:pos="1062"/>
                <w:tab w:val="right" w:pos="9180"/>
              </w:tabs>
              <w:ind w:right="-18"/>
            </w:pPr>
            <w:r w:rsidRPr="000D3DC5">
              <w:t>$</w:t>
            </w:r>
            <w:r w:rsidRPr="000D3DC5">
              <w:tab/>
            </w:r>
            <w:r w:rsidR="00054F5F">
              <w:t>81,526</w:t>
            </w:r>
          </w:p>
        </w:tc>
        <w:tc>
          <w:tcPr>
            <w:tcW w:w="270" w:type="dxa"/>
          </w:tcPr>
          <w:p w14:paraId="3BE0F8C8" w14:textId="77777777" w:rsidR="002D363C" w:rsidRPr="000D3DC5" w:rsidRDefault="002D363C" w:rsidP="00B55AAE">
            <w:pPr>
              <w:tabs>
                <w:tab w:val="right" w:pos="9180"/>
              </w:tabs>
              <w:ind w:right="-360"/>
            </w:pPr>
          </w:p>
        </w:tc>
        <w:tc>
          <w:tcPr>
            <w:tcW w:w="1530" w:type="dxa"/>
          </w:tcPr>
          <w:p w14:paraId="40B4F7AF" w14:textId="200C9D52" w:rsidR="002D363C" w:rsidRPr="000D3DC5" w:rsidRDefault="002D363C" w:rsidP="00B55AAE">
            <w:pPr>
              <w:tabs>
                <w:tab w:val="decimal" w:pos="1152"/>
                <w:tab w:val="right" w:pos="9180"/>
              </w:tabs>
              <w:ind w:right="-18"/>
            </w:pPr>
            <w:r w:rsidRPr="000D3DC5">
              <w:t>$</w:t>
            </w:r>
            <w:r w:rsidRPr="000D3DC5">
              <w:tab/>
            </w:r>
            <w:r>
              <w:t>220,539</w:t>
            </w:r>
          </w:p>
        </w:tc>
      </w:tr>
      <w:tr w:rsidR="002D363C" w:rsidRPr="000D3DC5" w14:paraId="40764954" w14:textId="77777777" w:rsidTr="00B55AAE">
        <w:tc>
          <w:tcPr>
            <w:tcW w:w="378" w:type="dxa"/>
          </w:tcPr>
          <w:p w14:paraId="752A3A58" w14:textId="77777777" w:rsidR="002D363C" w:rsidRPr="000D3DC5" w:rsidRDefault="002D363C" w:rsidP="00B55AAE">
            <w:pPr>
              <w:ind w:right="-360"/>
            </w:pPr>
          </w:p>
        </w:tc>
        <w:tc>
          <w:tcPr>
            <w:tcW w:w="450" w:type="dxa"/>
          </w:tcPr>
          <w:p w14:paraId="700D2BD7" w14:textId="77777777" w:rsidR="002D363C" w:rsidRPr="000D3DC5" w:rsidRDefault="002D363C" w:rsidP="00B55AAE">
            <w:pPr>
              <w:ind w:right="-360"/>
            </w:pPr>
          </w:p>
        </w:tc>
        <w:tc>
          <w:tcPr>
            <w:tcW w:w="450" w:type="dxa"/>
          </w:tcPr>
          <w:p w14:paraId="4457CA45" w14:textId="77777777" w:rsidR="002D363C" w:rsidRPr="000D3DC5" w:rsidRDefault="002D363C" w:rsidP="00B55AAE">
            <w:pPr>
              <w:ind w:right="-360"/>
            </w:pPr>
          </w:p>
        </w:tc>
        <w:tc>
          <w:tcPr>
            <w:tcW w:w="2160" w:type="dxa"/>
          </w:tcPr>
          <w:p w14:paraId="76F799F2" w14:textId="77777777" w:rsidR="002D363C" w:rsidRPr="000D3DC5" w:rsidRDefault="002D363C" w:rsidP="00B55AAE">
            <w:pPr>
              <w:tabs>
                <w:tab w:val="right" w:pos="9180"/>
              </w:tabs>
              <w:ind w:right="-360"/>
            </w:pPr>
          </w:p>
        </w:tc>
        <w:tc>
          <w:tcPr>
            <w:tcW w:w="1530" w:type="dxa"/>
          </w:tcPr>
          <w:p w14:paraId="13D9D3CD" w14:textId="77777777" w:rsidR="002D363C" w:rsidRPr="000D3DC5" w:rsidRDefault="002D363C" w:rsidP="00B55AAE">
            <w:pPr>
              <w:tabs>
                <w:tab w:val="right" w:pos="9180"/>
              </w:tabs>
              <w:ind w:right="-18"/>
            </w:pPr>
          </w:p>
        </w:tc>
        <w:tc>
          <w:tcPr>
            <w:tcW w:w="270" w:type="dxa"/>
          </w:tcPr>
          <w:p w14:paraId="269F0EC1" w14:textId="77777777" w:rsidR="002D363C" w:rsidRPr="000D3DC5" w:rsidRDefault="002D363C" w:rsidP="00B55AAE">
            <w:pPr>
              <w:tabs>
                <w:tab w:val="right" w:pos="9180"/>
              </w:tabs>
              <w:ind w:right="-360"/>
            </w:pPr>
          </w:p>
        </w:tc>
        <w:tc>
          <w:tcPr>
            <w:tcW w:w="1440" w:type="dxa"/>
          </w:tcPr>
          <w:p w14:paraId="3F05CD31" w14:textId="77777777" w:rsidR="002D363C" w:rsidRPr="000D3DC5" w:rsidRDefault="002D363C" w:rsidP="00B55AAE">
            <w:pPr>
              <w:tabs>
                <w:tab w:val="right" w:pos="9180"/>
              </w:tabs>
              <w:ind w:right="-46"/>
            </w:pPr>
          </w:p>
        </w:tc>
        <w:tc>
          <w:tcPr>
            <w:tcW w:w="450" w:type="dxa"/>
          </w:tcPr>
          <w:p w14:paraId="5C9DAACA" w14:textId="77777777" w:rsidR="002D363C" w:rsidRPr="000D3DC5" w:rsidRDefault="002D363C" w:rsidP="00B55AAE">
            <w:pPr>
              <w:tabs>
                <w:tab w:val="right" w:pos="9180"/>
              </w:tabs>
              <w:ind w:right="-360"/>
            </w:pPr>
          </w:p>
        </w:tc>
        <w:tc>
          <w:tcPr>
            <w:tcW w:w="1440" w:type="dxa"/>
          </w:tcPr>
          <w:p w14:paraId="27ADE6FE" w14:textId="77777777" w:rsidR="002D363C" w:rsidRPr="000D3DC5" w:rsidRDefault="002D363C" w:rsidP="00B55AAE">
            <w:pPr>
              <w:tabs>
                <w:tab w:val="right" w:pos="9180"/>
              </w:tabs>
              <w:ind w:right="-18"/>
            </w:pPr>
          </w:p>
        </w:tc>
        <w:tc>
          <w:tcPr>
            <w:tcW w:w="270" w:type="dxa"/>
          </w:tcPr>
          <w:p w14:paraId="55836F6B" w14:textId="77777777" w:rsidR="002D363C" w:rsidRPr="000D3DC5" w:rsidRDefault="002D363C" w:rsidP="00B55AAE">
            <w:pPr>
              <w:tabs>
                <w:tab w:val="right" w:pos="9180"/>
              </w:tabs>
              <w:ind w:right="-360"/>
            </w:pPr>
          </w:p>
        </w:tc>
        <w:tc>
          <w:tcPr>
            <w:tcW w:w="1530" w:type="dxa"/>
          </w:tcPr>
          <w:p w14:paraId="2E565136" w14:textId="77777777" w:rsidR="002D363C" w:rsidRPr="000D3DC5" w:rsidRDefault="002D363C" w:rsidP="00B55AAE">
            <w:pPr>
              <w:tabs>
                <w:tab w:val="right" w:pos="9180"/>
              </w:tabs>
              <w:ind w:right="-18"/>
            </w:pPr>
          </w:p>
        </w:tc>
      </w:tr>
      <w:tr w:rsidR="002D363C" w:rsidRPr="000D3DC5" w14:paraId="63A7ADD0" w14:textId="77777777" w:rsidTr="00B55AAE">
        <w:tc>
          <w:tcPr>
            <w:tcW w:w="3438" w:type="dxa"/>
            <w:gridSpan w:val="4"/>
          </w:tcPr>
          <w:p w14:paraId="14E7E4A6" w14:textId="77777777" w:rsidR="002D363C" w:rsidRPr="000D3DC5" w:rsidRDefault="002D363C" w:rsidP="00B55AAE">
            <w:pPr>
              <w:tabs>
                <w:tab w:val="right" w:pos="9180"/>
              </w:tabs>
              <w:ind w:right="-360"/>
            </w:pPr>
            <w:r w:rsidRPr="000D3DC5">
              <w:t>Operating expenses:</w:t>
            </w:r>
          </w:p>
        </w:tc>
        <w:tc>
          <w:tcPr>
            <w:tcW w:w="1530" w:type="dxa"/>
          </w:tcPr>
          <w:p w14:paraId="1F3B7293" w14:textId="77777777" w:rsidR="002D363C" w:rsidRPr="000D3DC5" w:rsidRDefault="002D363C" w:rsidP="00B55AAE">
            <w:pPr>
              <w:tabs>
                <w:tab w:val="right" w:pos="9180"/>
              </w:tabs>
              <w:ind w:right="-18"/>
            </w:pPr>
          </w:p>
        </w:tc>
        <w:tc>
          <w:tcPr>
            <w:tcW w:w="270" w:type="dxa"/>
          </w:tcPr>
          <w:p w14:paraId="46A722B5" w14:textId="77777777" w:rsidR="002D363C" w:rsidRPr="000D3DC5" w:rsidRDefault="002D363C" w:rsidP="00B55AAE">
            <w:pPr>
              <w:tabs>
                <w:tab w:val="right" w:pos="9180"/>
              </w:tabs>
              <w:ind w:right="-360"/>
            </w:pPr>
          </w:p>
        </w:tc>
        <w:tc>
          <w:tcPr>
            <w:tcW w:w="1440" w:type="dxa"/>
          </w:tcPr>
          <w:p w14:paraId="14EB412A" w14:textId="77777777" w:rsidR="002D363C" w:rsidRPr="000D3DC5" w:rsidRDefault="002D363C" w:rsidP="00B55AAE">
            <w:pPr>
              <w:tabs>
                <w:tab w:val="right" w:pos="9180"/>
              </w:tabs>
              <w:ind w:right="-46"/>
            </w:pPr>
          </w:p>
        </w:tc>
        <w:tc>
          <w:tcPr>
            <w:tcW w:w="450" w:type="dxa"/>
          </w:tcPr>
          <w:p w14:paraId="202F9FB5" w14:textId="77777777" w:rsidR="002D363C" w:rsidRPr="000D3DC5" w:rsidRDefault="002D363C" w:rsidP="00B55AAE">
            <w:pPr>
              <w:tabs>
                <w:tab w:val="right" w:pos="9180"/>
              </w:tabs>
              <w:ind w:right="-360"/>
            </w:pPr>
          </w:p>
        </w:tc>
        <w:tc>
          <w:tcPr>
            <w:tcW w:w="1440" w:type="dxa"/>
          </w:tcPr>
          <w:p w14:paraId="5E0EA61D" w14:textId="77777777" w:rsidR="002D363C" w:rsidRPr="000D3DC5" w:rsidRDefault="002D363C" w:rsidP="00B55AAE">
            <w:pPr>
              <w:tabs>
                <w:tab w:val="right" w:pos="9180"/>
              </w:tabs>
              <w:ind w:right="-18"/>
            </w:pPr>
          </w:p>
        </w:tc>
        <w:tc>
          <w:tcPr>
            <w:tcW w:w="270" w:type="dxa"/>
          </w:tcPr>
          <w:p w14:paraId="73078BB0" w14:textId="77777777" w:rsidR="002D363C" w:rsidRPr="000D3DC5" w:rsidRDefault="002D363C" w:rsidP="00B55AAE">
            <w:pPr>
              <w:tabs>
                <w:tab w:val="right" w:pos="9180"/>
              </w:tabs>
              <w:ind w:right="-360"/>
            </w:pPr>
          </w:p>
        </w:tc>
        <w:tc>
          <w:tcPr>
            <w:tcW w:w="1530" w:type="dxa"/>
          </w:tcPr>
          <w:p w14:paraId="0386C106" w14:textId="77777777" w:rsidR="002D363C" w:rsidRPr="000D3DC5" w:rsidRDefault="002D363C" w:rsidP="00B55AAE">
            <w:pPr>
              <w:tabs>
                <w:tab w:val="right" w:pos="9180"/>
              </w:tabs>
              <w:ind w:right="-18"/>
            </w:pPr>
          </w:p>
        </w:tc>
      </w:tr>
      <w:tr w:rsidR="002D363C" w:rsidRPr="000D3DC5" w14:paraId="68E686E3" w14:textId="77777777" w:rsidTr="00B55AAE">
        <w:tc>
          <w:tcPr>
            <w:tcW w:w="378" w:type="dxa"/>
          </w:tcPr>
          <w:p w14:paraId="32C3EBF7" w14:textId="77777777" w:rsidR="002D363C" w:rsidRPr="000D3DC5" w:rsidRDefault="002D363C" w:rsidP="00B55AAE">
            <w:pPr>
              <w:ind w:right="-360"/>
            </w:pPr>
          </w:p>
        </w:tc>
        <w:tc>
          <w:tcPr>
            <w:tcW w:w="3060" w:type="dxa"/>
            <w:gridSpan w:val="3"/>
          </w:tcPr>
          <w:p w14:paraId="21402FAF" w14:textId="77777777" w:rsidR="002D363C" w:rsidRPr="000D3DC5" w:rsidRDefault="002D363C" w:rsidP="00B55AAE">
            <w:pPr>
              <w:tabs>
                <w:tab w:val="right" w:pos="9180"/>
              </w:tabs>
              <w:ind w:right="-360"/>
            </w:pPr>
            <w:r w:rsidRPr="000D3DC5">
              <w:t>Research and development</w:t>
            </w:r>
          </w:p>
        </w:tc>
        <w:tc>
          <w:tcPr>
            <w:tcW w:w="1530" w:type="dxa"/>
          </w:tcPr>
          <w:p w14:paraId="367214F5" w14:textId="626366AD" w:rsidR="002D363C" w:rsidRPr="000D3DC5" w:rsidRDefault="002D363C" w:rsidP="00B55AAE">
            <w:pPr>
              <w:tabs>
                <w:tab w:val="decimal" w:pos="1152"/>
                <w:tab w:val="right" w:pos="9180"/>
              </w:tabs>
              <w:ind w:right="-18"/>
            </w:pPr>
            <w:r w:rsidRPr="000D3DC5">
              <w:tab/>
            </w:r>
            <w:r w:rsidR="00054F5F">
              <w:t>2,721,196</w:t>
            </w:r>
          </w:p>
        </w:tc>
        <w:tc>
          <w:tcPr>
            <w:tcW w:w="270" w:type="dxa"/>
          </w:tcPr>
          <w:p w14:paraId="519AC050" w14:textId="77777777" w:rsidR="002D363C" w:rsidRPr="000D3DC5" w:rsidRDefault="002D363C" w:rsidP="00B55AAE">
            <w:pPr>
              <w:tabs>
                <w:tab w:val="right" w:pos="9180"/>
              </w:tabs>
              <w:ind w:right="-360"/>
            </w:pPr>
          </w:p>
        </w:tc>
        <w:tc>
          <w:tcPr>
            <w:tcW w:w="1440" w:type="dxa"/>
          </w:tcPr>
          <w:p w14:paraId="38D09794" w14:textId="392AAEAF" w:rsidR="002D363C" w:rsidRPr="000D3DC5" w:rsidRDefault="002D363C" w:rsidP="00B55AAE">
            <w:pPr>
              <w:tabs>
                <w:tab w:val="decimal" w:pos="1062"/>
                <w:tab w:val="right" w:pos="9180"/>
              </w:tabs>
              <w:ind w:right="-46"/>
            </w:pPr>
            <w:r>
              <w:tab/>
              <w:t>1,224,362</w:t>
            </w:r>
          </w:p>
        </w:tc>
        <w:tc>
          <w:tcPr>
            <w:tcW w:w="450" w:type="dxa"/>
          </w:tcPr>
          <w:p w14:paraId="3553CC6D" w14:textId="77777777" w:rsidR="002D363C" w:rsidRPr="000D3DC5" w:rsidRDefault="002D363C" w:rsidP="00B55AAE">
            <w:pPr>
              <w:tabs>
                <w:tab w:val="right" w:pos="9180"/>
              </w:tabs>
              <w:ind w:right="-360"/>
            </w:pPr>
          </w:p>
        </w:tc>
        <w:tc>
          <w:tcPr>
            <w:tcW w:w="1440" w:type="dxa"/>
          </w:tcPr>
          <w:p w14:paraId="6AD64C42" w14:textId="05EFB69E" w:rsidR="002D363C" w:rsidRPr="000D3DC5" w:rsidRDefault="002D363C" w:rsidP="00B55AAE">
            <w:pPr>
              <w:tabs>
                <w:tab w:val="decimal" w:pos="1062"/>
                <w:tab w:val="right" w:pos="9180"/>
              </w:tabs>
              <w:ind w:right="-18"/>
            </w:pPr>
            <w:r>
              <w:tab/>
            </w:r>
            <w:r w:rsidR="00054F5F">
              <w:t>5,358,917</w:t>
            </w:r>
          </w:p>
        </w:tc>
        <w:tc>
          <w:tcPr>
            <w:tcW w:w="270" w:type="dxa"/>
          </w:tcPr>
          <w:p w14:paraId="3A3877F0" w14:textId="77777777" w:rsidR="002D363C" w:rsidRPr="000D3DC5" w:rsidRDefault="002D363C" w:rsidP="00B55AAE">
            <w:pPr>
              <w:tabs>
                <w:tab w:val="right" w:pos="9180"/>
              </w:tabs>
              <w:ind w:right="-360"/>
            </w:pPr>
          </w:p>
        </w:tc>
        <w:tc>
          <w:tcPr>
            <w:tcW w:w="1530" w:type="dxa"/>
          </w:tcPr>
          <w:p w14:paraId="235E04B0" w14:textId="20176725" w:rsidR="002D363C" w:rsidRPr="000D3DC5" w:rsidRDefault="002D363C" w:rsidP="00B55AAE">
            <w:pPr>
              <w:tabs>
                <w:tab w:val="decimal" w:pos="1152"/>
                <w:tab w:val="right" w:pos="9180"/>
              </w:tabs>
              <w:ind w:right="-18"/>
            </w:pPr>
            <w:r>
              <w:tab/>
              <w:t>2,659,980</w:t>
            </w:r>
          </w:p>
        </w:tc>
      </w:tr>
      <w:tr w:rsidR="002D363C" w:rsidRPr="000D3DC5" w14:paraId="29DD612E" w14:textId="77777777" w:rsidTr="00B55AAE">
        <w:tc>
          <w:tcPr>
            <w:tcW w:w="378" w:type="dxa"/>
          </w:tcPr>
          <w:p w14:paraId="6ED1A015" w14:textId="77777777" w:rsidR="002D363C" w:rsidRPr="000D3DC5" w:rsidRDefault="002D363C" w:rsidP="00B55AAE">
            <w:pPr>
              <w:ind w:right="-360"/>
            </w:pPr>
          </w:p>
        </w:tc>
        <w:tc>
          <w:tcPr>
            <w:tcW w:w="3060" w:type="dxa"/>
            <w:gridSpan w:val="3"/>
          </w:tcPr>
          <w:p w14:paraId="7AF73BDD" w14:textId="77777777" w:rsidR="002D363C" w:rsidRPr="000D3DC5" w:rsidRDefault="002D363C" w:rsidP="00B55AAE">
            <w:pPr>
              <w:tabs>
                <w:tab w:val="right" w:pos="9180"/>
              </w:tabs>
              <w:ind w:right="-360"/>
            </w:pPr>
            <w:r w:rsidRPr="000D3DC5">
              <w:t>General and administrative</w:t>
            </w:r>
          </w:p>
        </w:tc>
        <w:tc>
          <w:tcPr>
            <w:tcW w:w="1530" w:type="dxa"/>
          </w:tcPr>
          <w:p w14:paraId="79C07F66" w14:textId="4479A2E6" w:rsidR="002D363C" w:rsidRPr="000D3DC5" w:rsidRDefault="002D363C" w:rsidP="00B55AAE">
            <w:pPr>
              <w:tabs>
                <w:tab w:val="decimal" w:pos="1152"/>
                <w:tab w:val="right" w:pos="9180"/>
              </w:tabs>
              <w:ind w:right="-18"/>
            </w:pPr>
            <w:r w:rsidRPr="000D3DC5">
              <w:tab/>
            </w:r>
            <w:r w:rsidR="00054F5F">
              <w:t>1,2</w:t>
            </w:r>
            <w:r w:rsidR="00D12423">
              <w:t>4</w:t>
            </w:r>
            <w:r w:rsidR="00054F5F">
              <w:t>9,337</w:t>
            </w:r>
          </w:p>
        </w:tc>
        <w:tc>
          <w:tcPr>
            <w:tcW w:w="270" w:type="dxa"/>
          </w:tcPr>
          <w:p w14:paraId="68E45E78" w14:textId="77777777" w:rsidR="002D363C" w:rsidRPr="000D3DC5" w:rsidRDefault="002D363C" w:rsidP="00B55AAE">
            <w:pPr>
              <w:tabs>
                <w:tab w:val="right" w:pos="9180"/>
              </w:tabs>
              <w:ind w:right="-360"/>
            </w:pPr>
          </w:p>
        </w:tc>
        <w:tc>
          <w:tcPr>
            <w:tcW w:w="1440" w:type="dxa"/>
          </w:tcPr>
          <w:p w14:paraId="1C090986" w14:textId="38FB712C" w:rsidR="002D363C" w:rsidRPr="000D3DC5" w:rsidRDefault="002D363C" w:rsidP="00B55AAE">
            <w:pPr>
              <w:tabs>
                <w:tab w:val="decimal" w:pos="1062"/>
                <w:tab w:val="right" w:pos="9180"/>
              </w:tabs>
              <w:ind w:right="-46"/>
            </w:pPr>
            <w:r>
              <w:tab/>
              <w:t>757,432</w:t>
            </w:r>
          </w:p>
        </w:tc>
        <w:tc>
          <w:tcPr>
            <w:tcW w:w="450" w:type="dxa"/>
          </w:tcPr>
          <w:p w14:paraId="21BF0AAF" w14:textId="77777777" w:rsidR="002D363C" w:rsidRPr="000D3DC5" w:rsidRDefault="002D363C" w:rsidP="00B55AAE">
            <w:pPr>
              <w:tabs>
                <w:tab w:val="right" w:pos="9180"/>
              </w:tabs>
              <w:ind w:right="-360"/>
            </w:pPr>
          </w:p>
        </w:tc>
        <w:tc>
          <w:tcPr>
            <w:tcW w:w="1440" w:type="dxa"/>
          </w:tcPr>
          <w:p w14:paraId="3909AD79" w14:textId="096B1F42" w:rsidR="002D363C" w:rsidRPr="000D3DC5" w:rsidRDefault="002D363C" w:rsidP="00B55AAE">
            <w:pPr>
              <w:tabs>
                <w:tab w:val="decimal" w:pos="1062"/>
                <w:tab w:val="right" w:pos="9180"/>
              </w:tabs>
              <w:ind w:right="-18"/>
            </w:pPr>
            <w:r w:rsidRPr="000D3DC5">
              <w:tab/>
            </w:r>
            <w:r w:rsidR="00054F5F">
              <w:t>3,3</w:t>
            </w:r>
            <w:r w:rsidR="00D12423">
              <w:t>6</w:t>
            </w:r>
            <w:r w:rsidR="00054F5F">
              <w:t>3,672</w:t>
            </w:r>
          </w:p>
        </w:tc>
        <w:tc>
          <w:tcPr>
            <w:tcW w:w="270" w:type="dxa"/>
          </w:tcPr>
          <w:p w14:paraId="4350C2E3" w14:textId="77777777" w:rsidR="002D363C" w:rsidRPr="000D3DC5" w:rsidRDefault="002D363C" w:rsidP="00B55AAE">
            <w:pPr>
              <w:tabs>
                <w:tab w:val="right" w:pos="9180"/>
              </w:tabs>
              <w:ind w:right="-360"/>
            </w:pPr>
          </w:p>
        </w:tc>
        <w:tc>
          <w:tcPr>
            <w:tcW w:w="1530" w:type="dxa"/>
          </w:tcPr>
          <w:p w14:paraId="0C5166B2" w14:textId="074B6AA8" w:rsidR="002D363C" w:rsidRPr="000D3DC5" w:rsidRDefault="002D363C" w:rsidP="00B55AAE">
            <w:pPr>
              <w:tabs>
                <w:tab w:val="decimal" w:pos="1152"/>
                <w:tab w:val="right" w:pos="9180"/>
              </w:tabs>
              <w:ind w:right="-18"/>
            </w:pPr>
            <w:r>
              <w:tab/>
              <w:t>2,562,641</w:t>
            </w:r>
          </w:p>
        </w:tc>
      </w:tr>
      <w:tr w:rsidR="002D363C" w:rsidRPr="000D3DC5" w14:paraId="37A54E02" w14:textId="77777777" w:rsidTr="00B55AAE">
        <w:tc>
          <w:tcPr>
            <w:tcW w:w="3438" w:type="dxa"/>
            <w:gridSpan w:val="4"/>
          </w:tcPr>
          <w:p w14:paraId="2CE5E320" w14:textId="77777777" w:rsidR="002D363C" w:rsidRPr="000D3DC5" w:rsidRDefault="002D363C" w:rsidP="00B55AAE">
            <w:pPr>
              <w:tabs>
                <w:tab w:val="right" w:pos="9180"/>
              </w:tabs>
              <w:ind w:right="-360"/>
            </w:pPr>
            <w:r>
              <w:t>Total operating expenses</w:t>
            </w:r>
          </w:p>
        </w:tc>
        <w:tc>
          <w:tcPr>
            <w:tcW w:w="1530" w:type="dxa"/>
            <w:tcBorders>
              <w:top w:val="single" w:sz="4" w:space="0" w:color="auto"/>
              <w:bottom w:val="single" w:sz="4" w:space="0" w:color="auto"/>
            </w:tcBorders>
          </w:tcPr>
          <w:p w14:paraId="0A470C0F" w14:textId="6D9AE850" w:rsidR="002D363C" w:rsidRPr="000D3DC5" w:rsidRDefault="002D363C" w:rsidP="00B55AAE">
            <w:pPr>
              <w:tabs>
                <w:tab w:val="decimal" w:pos="1152"/>
                <w:tab w:val="right" w:pos="9180"/>
              </w:tabs>
              <w:ind w:right="-18"/>
            </w:pPr>
            <w:r w:rsidRPr="000D3DC5">
              <w:tab/>
            </w:r>
            <w:r w:rsidR="00054F5F">
              <w:t>3,9</w:t>
            </w:r>
            <w:r w:rsidR="00D12423">
              <w:t>7</w:t>
            </w:r>
            <w:r w:rsidR="00054F5F">
              <w:t>0,533</w:t>
            </w:r>
          </w:p>
        </w:tc>
        <w:tc>
          <w:tcPr>
            <w:tcW w:w="270" w:type="dxa"/>
          </w:tcPr>
          <w:p w14:paraId="62A64F39" w14:textId="77777777" w:rsidR="002D363C" w:rsidRPr="000D3DC5" w:rsidRDefault="002D363C" w:rsidP="00B55AAE">
            <w:pPr>
              <w:tabs>
                <w:tab w:val="right" w:pos="9180"/>
              </w:tabs>
              <w:ind w:right="-360"/>
            </w:pPr>
          </w:p>
        </w:tc>
        <w:tc>
          <w:tcPr>
            <w:tcW w:w="1440" w:type="dxa"/>
            <w:tcBorders>
              <w:top w:val="single" w:sz="4" w:space="0" w:color="auto"/>
              <w:bottom w:val="single" w:sz="4" w:space="0" w:color="auto"/>
            </w:tcBorders>
          </w:tcPr>
          <w:p w14:paraId="213A2B41" w14:textId="03D9493C" w:rsidR="002D363C" w:rsidRPr="000D3DC5" w:rsidRDefault="002D363C" w:rsidP="00B55AAE">
            <w:pPr>
              <w:tabs>
                <w:tab w:val="decimal" w:pos="1062"/>
                <w:tab w:val="right" w:pos="9180"/>
              </w:tabs>
              <w:ind w:right="-46"/>
            </w:pPr>
            <w:r>
              <w:tab/>
              <w:t>1,981,794</w:t>
            </w:r>
          </w:p>
        </w:tc>
        <w:tc>
          <w:tcPr>
            <w:tcW w:w="450" w:type="dxa"/>
          </w:tcPr>
          <w:p w14:paraId="4F9A2585" w14:textId="77777777" w:rsidR="002D363C" w:rsidRPr="000D3DC5" w:rsidRDefault="002D363C" w:rsidP="00B55AAE">
            <w:pPr>
              <w:tabs>
                <w:tab w:val="right" w:pos="9180"/>
              </w:tabs>
              <w:ind w:right="-360"/>
            </w:pPr>
          </w:p>
        </w:tc>
        <w:tc>
          <w:tcPr>
            <w:tcW w:w="1440" w:type="dxa"/>
            <w:tcBorders>
              <w:top w:val="single" w:sz="4" w:space="0" w:color="auto"/>
              <w:bottom w:val="single" w:sz="4" w:space="0" w:color="auto"/>
            </w:tcBorders>
          </w:tcPr>
          <w:p w14:paraId="679E2F0A" w14:textId="6ACF2DE3" w:rsidR="002D363C" w:rsidRPr="000D3DC5" w:rsidRDefault="002D363C" w:rsidP="00B55AAE">
            <w:pPr>
              <w:tabs>
                <w:tab w:val="decimal" w:pos="1062"/>
                <w:tab w:val="right" w:pos="9180"/>
              </w:tabs>
              <w:ind w:right="-18"/>
            </w:pPr>
            <w:r w:rsidRPr="000D3DC5">
              <w:tab/>
            </w:r>
            <w:r w:rsidR="00054F5F">
              <w:t>8,</w:t>
            </w:r>
            <w:r w:rsidR="00D12423">
              <w:t>72</w:t>
            </w:r>
            <w:r w:rsidR="00054F5F">
              <w:t>2,589</w:t>
            </w:r>
          </w:p>
        </w:tc>
        <w:tc>
          <w:tcPr>
            <w:tcW w:w="270" w:type="dxa"/>
          </w:tcPr>
          <w:p w14:paraId="3A7F76AA" w14:textId="77777777" w:rsidR="002D363C" w:rsidRPr="000D3DC5" w:rsidRDefault="002D363C" w:rsidP="00B55AAE">
            <w:pPr>
              <w:tabs>
                <w:tab w:val="right" w:pos="9180"/>
              </w:tabs>
              <w:ind w:right="-360"/>
            </w:pPr>
          </w:p>
        </w:tc>
        <w:tc>
          <w:tcPr>
            <w:tcW w:w="1530" w:type="dxa"/>
            <w:tcBorders>
              <w:top w:val="single" w:sz="4" w:space="0" w:color="auto"/>
              <w:bottom w:val="single" w:sz="4" w:space="0" w:color="auto"/>
            </w:tcBorders>
          </w:tcPr>
          <w:p w14:paraId="46F81E0A" w14:textId="30DAD519" w:rsidR="002D363C" w:rsidRPr="000D3DC5" w:rsidRDefault="002D363C" w:rsidP="00B55AAE">
            <w:pPr>
              <w:tabs>
                <w:tab w:val="decimal" w:pos="1152"/>
                <w:tab w:val="right" w:pos="9180"/>
              </w:tabs>
              <w:ind w:right="-18"/>
            </w:pPr>
            <w:r>
              <w:tab/>
              <w:t>5,222,621</w:t>
            </w:r>
          </w:p>
        </w:tc>
      </w:tr>
      <w:tr w:rsidR="002D363C" w:rsidRPr="000D3DC5" w14:paraId="16827E12" w14:textId="77777777" w:rsidTr="00B55AAE">
        <w:tc>
          <w:tcPr>
            <w:tcW w:w="378" w:type="dxa"/>
          </w:tcPr>
          <w:p w14:paraId="5BAE7D8A" w14:textId="77777777" w:rsidR="002D363C" w:rsidRPr="000D3DC5" w:rsidRDefault="002D363C" w:rsidP="00B55AAE">
            <w:pPr>
              <w:ind w:right="-360"/>
            </w:pPr>
          </w:p>
        </w:tc>
        <w:tc>
          <w:tcPr>
            <w:tcW w:w="450" w:type="dxa"/>
          </w:tcPr>
          <w:p w14:paraId="5012F6AA" w14:textId="77777777" w:rsidR="002D363C" w:rsidRPr="000D3DC5" w:rsidRDefault="002D363C" w:rsidP="00B55AAE">
            <w:pPr>
              <w:ind w:right="-360"/>
            </w:pPr>
          </w:p>
        </w:tc>
        <w:tc>
          <w:tcPr>
            <w:tcW w:w="450" w:type="dxa"/>
          </w:tcPr>
          <w:p w14:paraId="028DC84E" w14:textId="77777777" w:rsidR="002D363C" w:rsidRPr="000D3DC5" w:rsidRDefault="002D363C" w:rsidP="00B55AAE">
            <w:pPr>
              <w:ind w:right="-360"/>
            </w:pPr>
          </w:p>
        </w:tc>
        <w:tc>
          <w:tcPr>
            <w:tcW w:w="2160" w:type="dxa"/>
          </w:tcPr>
          <w:p w14:paraId="144A0512" w14:textId="77777777" w:rsidR="002D363C" w:rsidRPr="000D3DC5" w:rsidRDefault="002D363C" w:rsidP="00B55AAE">
            <w:pPr>
              <w:tabs>
                <w:tab w:val="right" w:pos="9180"/>
              </w:tabs>
              <w:ind w:right="-360"/>
            </w:pPr>
          </w:p>
        </w:tc>
        <w:tc>
          <w:tcPr>
            <w:tcW w:w="1530" w:type="dxa"/>
            <w:tcBorders>
              <w:top w:val="single" w:sz="4" w:space="0" w:color="auto"/>
            </w:tcBorders>
          </w:tcPr>
          <w:p w14:paraId="76B147DF" w14:textId="77777777" w:rsidR="002D363C" w:rsidRPr="000D3DC5" w:rsidRDefault="002D363C" w:rsidP="00B55AAE">
            <w:pPr>
              <w:tabs>
                <w:tab w:val="right" w:pos="9180"/>
              </w:tabs>
              <w:ind w:right="-18"/>
            </w:pPr>
          </w:p>
        </w:tc>
        <w:tc>
          <w:tcPr>
            <w:tcW w:w="270" w:type="dxa"/>
          </w:tcPr>
          <w:p w14:paraId="0A1F4009" w14:textId="77777777" w:rsidR="002D363C" w:rsidRPr="000D3DC5" w:rsidRDefault="002D363C" w:rsidP="00B55AAE">
            <w:pPr>
              <w:tabs>
                <w:tab w:val="right" w:pos="9180"/>
              </w:tabs>
              <w:ind w:right="-360"/>
            </w:pPr>
          </w:p>
        </w:tc>
        <w:tc>
          <w:tcPr>
            <w:tcW w:w="1440" w:type="dxa"/>
            <w:tcBorders>
              <w:top w:val="single" w:sz="4" w:space="0" w:color="auto"/>
            </w:tcBorders>
          </w:tcPr>
          <w:p w14:paraId="6BE83CDC" w14:textId="77777777" w:rsidR="002D363C" w:rsidRPr="000D3DC5" w:rsidRDefault="002D363C" w:rsidP="00B55AAE">
            <w:pPr>
              <w:tabs>
                <w:tab w:val="right" w:pos="9180"/>
              </w:tabs>
              <w:ind w:right="-46"/>
            </w:pPr>
          </w:p>
        </w:tc>
        <w:tc>
          <w:tcPr>
            <w:tcW w:w="450" w:type="dxa"/>
          </w:tcPr>
          <w:p w14:paraId="4773A87A" w14:textId="77777777" w:rsidR="002D363C" w:rsidRPr="000D3DC5" w:rsidRDefault="002D363C" w:rsidP="00B55AAE">
            <w:pPr>
              <w:tabs>
                <w:tab w:val="right" w:pos="9180"/>
              </w:tabs>
              <w:ind w:right="-360"/>
            </w:pPr>
          </w:p>
        </w:tc>
        <w:tc>
          <w:tcPr>
            <w:tcW w:w="1440" w:type="dxa"/>
            <w:tcBorders>
              <w:top w:val="single" w:sz="4" w:space="0" w:color="auto"/>
            </w:tcBorders>
          </w:tcPr>
          <w:p w14:paraId="3B13212B" w14:textId="77777777" w:rsidR="002D363C" w:rsidRPr="000D3DC5" w:rsidRDefault="002D363C" w:rsidP="00B55AAE">
            <w:pPr>
              <w:tabs>
                <w:tab w:val="right" w:pos="9180"/>
              </w:tabs>
              <w:ind w:right="-18"/>
            </w:pPr>
          </w:p>
        </w:tc>
        <w:tc>
          <w:tcPr>
            <w:tcW w:w="270" w:type="dxa"/>
          </w:tcPr>
          <w:p w14:paraId="67EC4815" w14:textId="77777777" w:rsidR="002D363C" w:rsidRPr="000D3DC5" w:rsidRDefault="002D363C" w:rsidP="00B55AAE">
            <w:pPr>
              <w:tabs>
                <w:tab w:val="right" w:pos="9180"/>
              </w:tabs>
              <w:ind w:right="-360"/>
            </w:pPr>
          </w:p>
        </w:tc>
        <w:tc>
          <w:tcPr>
            <w:tcW w:w="1530" w:type="dxa"/>
            <w:tcBorders>
              <w:top w:val="single" w:sz="4" w:space="0" w:color="auto"/>
            </w:tcBorders>
          </w:tcPr>
          <w:p w14:paraId="6E96492F" w14:textId="77777777" w:rsidR="002D363C" w:rsidRPr="000D3DC5" w:rsidRDefault="002D363C" w:rsidP="00B55AAE">
            <w:pPr>
              <w:tabs>
                <w:tab w:val="right" w:pos="9180"/>
              </w:tabs>
              <w:ind w:right="-18"/>
            </w:pPr>
          </w:p>
        </w:tc>
      </w:tr>
      <w:tr w:rsidR="002D363C" w:rsidRPr="000D3DC5" w14:paraId="3BBFAB9A" w14:textId="77777777" w:rsidTr="00B55AAE">
        <w:tc>
          <w:tcPr>
            <w:tcW w:w="3438" w:type="dxa"/>
            <w:gridSpan w:val="4"/>
          </w:tcPr>
          <w:p w14:paraId="272B44E5" w14:textId="77777777" w:rsidR="002D363C" w:rsidRPr="000D3DC5" w:rsidRDefault="002D363C" w:rsidP="00B55AAE">
            <w:pPr>
              <w:tabs>
                <w:tab w:val="right" w:pos="9180"/>
              </w:tabs>
              <w:ind w:right="-360"/>
            </w:pPr>
            <w:r>
              <w:t>L</w:t>
            </w:r>
            <w:r w:rsidRPr="000D3DC5">
              <w:t>oss from operations</w:t>
            </w:r>
          </w:p>
        </w:tc>
        <w:tc>
          <w:tcPr>
            <w:tcW w:w="1530" w:type="dxa"/>
          </w:tcPr>
          <w:p w14:paraId="41FEBC30" w14:textId="29203BCD" w:rsidR="002D363C" w:rsidRPr="000D3DC5" w:rsidRDefault="002D363C" w:rsidP="00B55AAE">
            <w:pPr>
              <w:tabs>
                <w:tab w:val="decimal" w:pos="1152"/>
                <w:tab w:val="right" w:pos="9180"/>
              </w:tabs>
              <w:ind w:right="-18"/>
            </w:pPr>
            <w:r>
              <w:tab/>
            </w:r>
            <w:r w:rsidR="00054F5F">
              <w:t>(3,9</w:t>
            </w:r>
            <w:r w:rsidR="00D12423">
              <w:t>7</w:t>
            </w:r>
            <w:r w:rsidR="00054F5F">
              <w:t>0,533)</w:t>
            </w:r>
          </w:p>
        </w:tc>
        <w:tc>
          <w:tcPr>
            <w:tcW w:w="270" w:type="dxa"/>
          </w:tcPr>
          <w:p w14:paraId="648663B6" w14:textId="77777777" w:rsidR="002D363C" w:rsidRPr="000D3DC5" w:rsidRDefault="002D363C" w:rsidP="00B55AAE">
            <w:pPr>
              <w:tabs>
                <w:tab w:val="right" w:pos="9180"/>
              </w:tabs>
              <w:ind w:right="-360"/>
            </w:pPr>
          </w:p>
        </w:tc>
        <w:tc>
          <w:tcPr>
            <w:tcW w:w="1440" w:type="dxa"/>
          </w:tcPr>
          <w:p w14:paraId="12AC3B00" w14:textId="53E9E174" w:rsidR="002D363C" w:rsidRPr="000D3DC5" w:rsidRDefault="002D363C" w:rsidP="00B55AAE">
            <w:pPr>
              <w:tabs>
                <w:tab w:val="decimal" w:pos="1062"/>
                <w:tab w:val="right" w:pos="9180"/>
              </w:tabs>
              <w:ind w:right="-46"/>
            </w:pPr>
            <w:r>
              <w:tab/>
              <w:t>(1,951,380)</w:t>
            </w:r>
          </w:p>
        </w:tc>
        <w:tc>
          <w:tcPr>
            <w:tcW w:w="450" w:type="dxa"/>
          </w:tcPr>
          <w:p w14:paraId="74602878" w14:textId="77777777" w:rsidR="002D363C" w:rsidRPr="000D3DC5" w:rsidRDefault="002D363C" w:rsidP="00B55AAE">
            <w:pPr>
              <w:tabs>
                <w:tab w:val="right" w:pos="9180"/>
              </w:tabs>
              <w:ind w:right="-360"/>
            </w:pPr>
          </w:p>
        </w:tc>
        <w:tc>
          <w:tcPr>
            <w:tcW w:w="1440" w:type="dxa"/>
          </w:tcPr>
          <w:p w14:paraId="27FD69A6" w14:textId="54A2F552" w:rsidR="002D363C" w:rsidRPr="000D3DC5" w:rsidRDefault="002D363C" w:rsidP="00B55AAE">
            <w:pPr>
              <w:tabs>
                <w:tab w:val="decimal" w:pos="1044"/>
                <w:tab w:val="right" w:pos="9180"/>
              </w:tabs>
              <w:ind w:right="-18"/>
            </w:pPr>
            <w:r w:rsidRPr="000D3DC5">
              <w:tab/>
            </w:r>
            <w:r w:rsidR="00054F5F">
              <w:t>(8,6</w:t>
            </w:r>
            <w:r w:rsidR="00D12423">
              <w:t>4</w:t>
            </w:r>
            <w:r w:rsidR="00054F5F">
              <w:t>1,063)</w:t>
            </w:r>
          </w:p>
        </w:tc>
        <w:tc>
          <w:tcPr>
            <w:tcW w:w="270" w:type="dxa"/>
          </w:tcPr>
          <w:p w14:paraId="3FCAC811" w14:textId="77777777" w:rsidR="002D363C" w:rsidRPr="000D3DC5" w:rsidRDefault="002D363C" w:rsidP="00B55AAE">
            <w:pPr>
              <w:tabs>
                <w:tab w:val="right" w:pos="9180"/>
              </w:tabs>
              <w:ind w:right="-360"/>
            </w:pPr>
          </w:p>
        </w:tc>
        <w:tc>
          <w:tcPr>
            <w:tcW w:w="1530" w:type="dxa"/>
          </w:tcPr>
          <w:p w14:paraId="616A07F2" w14:textId="79DE88BD" w:rsidR="002D363C" w:rsidRPr="000D3DC5" w:rsidRDefault="002D363C" w:rsidP="00B55AAE">
            <w:pPr>
              <w:tabs>
                <w:tab w:val="decimal" w:pos="1152"/>
                <w:tab w:val="right" w:pos="9180"/>
              </w:tabs>
              <w:ind w:right="-18"/>
            </w:pPr>
            <w:r>
              <w:tab/>
              <w:t>(5,002,082)</w:t>
            </w:r>
          </w:p>
        </w:tc>
      </w:tr>
      <w:tr w:rsidR="002D363C" w:rsidRPr="000D3DC5" w14:paraId="02AC74B3" w14:textId="77777777" w:rsidTr="00B55AAE">
        <w:tc>
          <w:tcPr>
            <w:tcW w:w="378" w:type="dxa"/>
          </w:tcPr>
          <w:p w14:paraId="432700DF" w14:textId="77777777" w:rsidR="002D363C" w:rsidRPr="000D3DC5" w:rsidRDefault="002D363C" w:rsidP="00B55AAE">
            <w:pPr>
              <w:ind w:right="-360"/>
            </w:pPr>
          </w:p>
        </w:tc>
        <w:tc>
          <w:tcPr>
            <w:tcW w:w="450" w:type="dxa"/>
          </w:tcPr>
          <w:p w14:paraId="4A594141" w14:textId="77777777" w:rsidR="002D363C" w:rsidRPr="000D3DC5" w:rsidRDefault="002D363C" w:rsidP="00B55AAE">
            <w:pPr>
              <w:ind w:right="-360"/>
            </w:pPr>
          </w:p>
        </w:tc>
        <w:tc>
          <w:tcPr>
            <w:tcW w:w="450" w:type="dxa"/>
          </w:tcPr>
          <w:p w14:paraId="5D293713" w14:textId="77777777" w:rsidR="002D363C" w:rsidRPr="000D3DC5" w:rsidRDefault="002D363C" w:rsidP="00B55AAE">
            <w:pPr>
              <w:ind w:right="-360"/>
            </w:pPr>
          </w:p>
        </w:tc>
        <w:tc>
          <w:tcPr>
            <w:tcW w:w="2160" w:type="dxa"/>
          </w:tcPr>
          <w:p w14:paraId="1132B34A" w14:textId="77777777" w:rsidR="002D363C" w:rsidRPr="000D3DC5" w:rsidRDefault="002D363C" w:rsidP="00B55AAE">
            <w:pPr>
              <w:tabs>
                <w:tab w:val="right" w:pos="9180"/>
              </w:tabs>
              <w:ind w:right="-360"/>
            </w:pPr>
          </w:p>
        </w:tc>
        <w:tc>
          <w:tcPr>
            <w:tcW w:w="1530" w:type="dxa"/>
          </w:tcPr>
          <w:p w14:paraId="6114DA20" w14:textId="77777777" w:rsidR="002D363C" w:rsidRPr="000D3DC5" w:rsidRDefault="002D363C" w:rsidP="00B55AAE">
            <w:pPr>
              <w:tabs>
                <w:tab w:val="right" w:pos="9180"/>
              </w:tabs>
              <w:ind w:right="-18"/>
            </w:pPr>
          </w:p>
        </w:tc>
        <w:tc>
          <w:tcPr>
            <w:tcW w:w="270" w:type="dxa"/>
          </w:tcPr>
          <w:p w14:paraId="7800D8F6" w14:textId="77777777" w:rsidR="002D363C" w:rsidRPr="000D3DC5" w:rsidRDefault="002D363C" w:rsidP="00B55AAE">
            <w:pPr>
              <w:tabs>
                <w:tab w:val="right" w:pos="9180"/>
              </w:tabs>
              <w:ind w:right="-360"/>
            </w:pPr>
          </w:p>
        </w:tc>
        <w:tc>
          <w:tcPr>
            <w:tcW w:w="1440" w:type="dxa"/>
          </w:tcPr>
          <w:p w14:paraId="53903F51" w14:textId="77777777" w:rsidR="002D363C" w:rsidRPr="000D3DC5" w:rsidRDefault="002D363C" w:rsidP="00B55AAE">
            <w:pPr>
              <w:tabs>
                <w:tab w:val="right" w:pos="9180"/>
              </w:tabs>
              <w:ind w:right="-46"/>
            </w:pPr>
          </w:p>
        </w:tc>
        <w:tc>
          <w:tcPr>
            <w:tcW w:w="450" w:type="dxa"/>
          </w:tcPr>
          <w:p w14:paraId="5FD9DA45" w14:textId="77777777" w:rsidR="002D363C" w:rsidRPr="000D3DC5" w:rsidRDefault="002D363C" w:rsidP="00B55AAE">
            <w:pPr>
              <w:tabs>
                <w:tab w:val="right" w:pos="9180"/>
              </w:tabs>
              <w:ind w:right="-360"/>
            </w:pPr>
          </w:p>
        </w:tc>
        <w:tc>
          <w:tcPr>
            <w:tcW w:w="1440" w:type="dxa"/>
          </w:tcPr>
          <w:p w14:paraId="43976CB9" w14:textId="77777777" w:rsidR="002D363C" w:rsidRPr="000D3DC5" w:rsidRDefault="002D363C" w:rsidP="00B55AAE">
            <w:pPr>
              <w:tabs>
                <w:tab w:val="right" w:pos="9180"/>
              </w:tabs>
              <w:ind w:right="-18"/>
            </w:pPr>
          </w:p>
        </w:tc>
        <w:tc>
          <w:tcPr>
            <w:tcW w:w="270" w:type="dxa"/>
          </w:tcPr>
          <w:p w14:paraId="2332BF03" w14:textId="77777777" w:rsidR="002D363C" w:rsidRPr="000D3DC5" w:rsidRDefault="002D363C" w:rsidP="00B55AAE">
            <w:pPr>
              <w:tabs>
                <w:tab w:val="right" w:pos="9180"/>
              </w:tabs>
              <w:ind w:right="-360"/>
            </w:pPr>
          </w:p>
        </w:tc>
        <w:tc>
          <w:tcPr>
            <w:tcW w:w="1530" w:type="dxa"/>
          </w:tcPr>
          <w:p w14:paraId="6CD6ACB4" w14:textId="77777777" w:rsidR="002D363C" w:rsidRPr="000D3DC5" w:rsidRDefault="002D363C" w:rsidP="00B55AAE">
            <w:pPr>
              <w:tabs>
                <w:tab w:val="right" w:pos="9180"/>
              </w:tabs>
              <w:ind w:right="-18"/>
            </w:pPr>
          </w:p>
        </w:tc>
      </w:tr>
      <w:tr w:rsidR="002D363C" w:rsidRPr="000D3DC5" w14:paraId="044096C7" w14:textId="77777777" w:rsidTr="00B55AAE">
        <w:tc>
          <w:tcPr>
            <w:tcW w:w="3438" w:type="dxa"/>
            <w:gridSpan w:val="4"/>
          </w:tcPr>
          <w:p w14:paraId="2D059B85" w14:textId="77777777" w:rsidR="002D363C" w:rsidRPr="000D3DC5" w:rsidRDefault="002D363C" w:rsidP="00B55AAE">
            <w:pPr>
              <w:tabs>
                <w:tab w:val="right" w:pos="9180"/>
              </w:tabs>
              <w:ind w:right="-360"/>
            </w:pPr>
            <w:r>
              <w:t>Other income (expense):</w:t>
            </w:r>
          </w:p>
        </w:tc>
        <w:tc>
          <w:tcPr>
            <w:tcW w:w="1530" w:type="dxa"/>
          </w:tcPr>
          <w:p w14:paraId="4B2C0267" w14:textId="77777777" w:rsidR="002D363C" w:rsidRPr="000D3DC5" w:rsidRDefault="002D363C" w:rsidP="00B55AAE">
            <w:pPr>
              <w:tabs>
                <w:tab w:val="decimal" w:pos="1062"/>
                <w:tab w:val="right" w:pos="9180"/>
              </w:tabs>
              <w:ind w:right="-18"/>
            </w:pPr>
          </w:p>
        </w:tc>
        <w:tc>
          <w:tcPr>
            <w:tcW w:w="270" w:type="dxa"/>
          </w:tcPr>
          <w:p w14:paraId="72650607" w14:textId="77777777" w:rsidR="002D363C" w:rsidRPr="000D3DC5" w:rsidRDefault="002D363C" w:rsidP="00B55AAE">
            <w:pPr>
              <w:tabs>
                <w:tab w:val="right" w:pos="9180"/>
              </w:tabs>
              <w:ind w:right="-360"/>
            </w:pPr>
          </w:p>
        </w:tc>
        <w:tc>
          <w:tcPr>
            <w:tcW w:w="1440" w:type="dxa"/>
          </w:tcPr>
          <w:p w14:paraId="28A527DD" w14:textId="77777777" w:rsidR="002D363C" w:rsidRPr="000D3DC5" w:rsidRDefault="002D363C" w:rsidP="00B55AAE">
            <w:pPr>
              <w:tabs>
                <w:tab w:val="decimal" w:pos="864"/>
                <w:tab w:val="right" w:pos="9180"/>
              </w:tabs>
              <w:ind w:right="-46"/>
            </w:pPr>
          </w:p>
        </w:tc>
        <w:tc>
          <w:tcPr>
            <w:tcW w:w="450" w:type="dxa"/>
          </w:tcPr>
          <w:p w14:paraId="62F723B9" w14:textId="77777777" w:rsidR="002D363C" w:rsidRPr="000D3DC5" w:rsidRDefault="002D363C" w:rsidP="00B55AAE">
            <w:pPr>
              <w:tabs>
                <w:tab w:val="right" w:pos="9180"/>
              </w:tabs>
              <w:ind w:right="-360"/>
            </w:pPr>
          </w:p>
        </w:tc>
        <w:tc>
          <w:tcPr>
            <w:tcW w:w="1440" w:type="dxa"/>
          </w:tcPr>
          <w:p w14:paraId="3E225343" w14:textId="77777777" w:rsidR="002D363C" w:rsidRPr="000D3DC5" w:rsidRDefault="002D363C" w:rsidP="00B55AAE">
            <w:pPr>
              <w:tabs>
                <w:tab w:val="decimal" w:pos="864"/>
                <w:tab w:val="right" w:pos="9180"/>
              </w:tabs>
              <w:ind w:right="-18"/>
            </w:pPr>
          </w:p>
        </w:tc>
        <w:tc>
          <w:tcPr>
            <w:tcW w:w="270" w:type="dxa"/>
          </w:tcPr>
          <w:p w14:paraId="45E11020" w14:textId="77777777" w:rsidR="002D363C" w:rsidRPr="000D3DC5" w:rsidRDefault="002D363C" w:rsidP="00B55AAE">
            <w:pPr>
              <w:tabs>
                <w:tab w:val="right" w:pos="9180"/>
              </w:tabs>
              <w:ind w:right="-360"/>
            </w:pPr>
          </w:p>
        </w:tc>
        <w:tc>
          <w:tcPr>
            <w:tcW w:w="1530" w:type="dxa"/>
          </w:tcPr>
          <w:p w14:paraId="66346CD8" w14:textId="77777777" w:rsidR="002D363C" w:rsidRPr="000D3DC5" w:rsidRDefault="002D363C" w:rsidP="00B55AAE">
            <w:pPr>
              <w:tabs>
                <w:tab w:val="decimal" w:pos="864"/>
                <w:tab w:val="right" w:pos="9180"/>
              </w:tabs>
              <w:ind w:right="-18"/>
            </w:pPr>
          </w:p>
        </w:tc>
      </w:tr>
      <w:tr w:rsidR="002D363C" w:rsidRPr="000D3DC5" w14:paraId="41A5EB10" w14:textId="77777777" w:rsidTr="00B55AAE">
        <w:tc>
          <w:tcPr>
            <w:tcW w:w="378" w:type="dxa"/>
          </w:tcPr>
          <w:p w14:paraId="3CE510E2" w14:textId="77777777" w:rsidR="002D363C" w:rsidRPr="000D3DC5" w:rsidRDefault="002D363C" w:rsidP="00B55AAE">
            <w:pPr>
              <w:ind w:right="-360"/>
            </w:pPr>
          </w:p>
        </w:tc>
        <w:tc>
          <w:tcPr>
            <w:tcW w:w="3060" w:type="dxa"/>
            <w:gridSpan w:val="3"/>
          </w:tcPr>
          <w:p w14:paraId="3AC5779B" w14:textId="77777777" w:rsidR="002D363C" w:rsidRPr="000D3DC5" w:rsidRDefault="002D363C" w:rsidP="00B55AAE">
            <w:pPr>
              <w:tabs>
                <w:tab w:val="right" w:pos="9180"/>
              </w:tabs>
              <w:ind w:right="-360"/>
            </w:pPr>
            <w:r w:rsidRPr="000D3DC5">
              <w:t>Interest income</w:t>
            </w:r>
          </w:p>
        </w:tc>
        <w:tc>
          <w:tcPr>
            <w:tcW w:w="1530" w:type="dxa"/>
          </w:tcPr>
          <w:p w14:paraId="448A566A" w14:textId="21AB99EC" w:rsidR="002D363C" w:rsidRPr="000D3DC5" w:rsidRDefault="002D363C" w:rsidP="00B55AAE">
            <w:pPr>
              <w:tabs>
                <w:tab w:val="decimal" w:pos="1152"/>
                <w:tab w:val="right" w:pos="9180"/>
              </w:tabs>
              <w:ind w:right="-18"/>
            </w:pPr>
            <w:r w:rsidRPr="000D3DC5">
              <w:tab/>
            </w:r>
            <w:r w:rsidR="00054F5F">
              <w:t>2,431</w:t>
            </w:r>
          </w:p>
        </w:tc>
        <w:tc>
          <w:tcPr>
            <w:tcW w:w="270" w:type="dxa"/>
          </w:tcPr>
          <w:p w14:paraId="0A2209EF" w14:textId="77777777" w:rsidR="002D363C" w:rsidRPr="000D3DC5" w:rsidRDefault="002D363C" w:rsidP="00B55AAE">
            <w:pPr>
              <w:tabs>
                <w:tab w:val="right" w:pos="9180"/>
              </w:tabs>
              <w:ind w:right="-360"/>
            </w:pPr>
          </w:p>
        </w:tc>
        <w:tc>
          <w:tcPr>
            <w:tcW w:w="1440" w:type="dxa"/>
          </w:tcPr>
          <w:p w14:paraId="56E3DF1A" w14:textId="4204127D" w:rsidR="002D363C" w:rsidRPr="000D3DC5" w:rsidRDefault="002D363C" w:rsidP="00B55AAE">
            <w:pPr>
              <w:tabs>
                <w:tab w:val="decimal" w:pos="1062"/>
                <w:tab w:val="right" w:pos="9180"/>
              </w:tabs>
              <w:ind w:right="-46"/>
            </w:pPr>
            <w:r w:rsidRPr="000D3DC5">
              <w:tab/>
            </w:r>
            <w:r>
              <w:t>877</w:t>
            </w:r>
          </w:p>
        </w:tc>
        <w:tc>
          <w:tcPr>
            <w:tcW w:w="450" w:type="dxa"/>
          </w:tcPr>
          <w:p w14:paraId="7EF2DB02" w14:textId="77777777" w:rsidR="002D363C" w:rsidRPr="000D3DC5" w:rsidRDefault="002D363C" w:rsidP="00B55AAE">
            <w:pPr>
              <w:tabs>
                <w:tab w:val="right" w:pos="9180"/>
              </w:tabs>
              <w:ind w:right="-360"/>
            </w:pPr>
          </w:p>
        </w:tc>
        <w:tc>
          <w:tcPr>
            <w:tcW w:w="1440" w:type="dxa"/>
          </w:tcPr>
          <w:p w14:paraId="45C8D184" w14:textId="5D040FDB" w:rsidR="002D363C" w:rsidRPr="000D3DC5" w:rsidRDefault="002D363C" w:rsidP="00B55AAE">
            <w:pPr>
              <w:tabs>
                <w:tab w:val="decimal" w:pos="1062"/>
                <w:tab w:val="right" w:pos="9180"/>
              </w:tabs>
              <w:ind w:right="-18"/>
            </w:pPr>
            <w:r w:rsidRPr="000D3DC5">
              <w:tab/>
            </w:r>
            <w:r w:rsidR="00054F5F">
              <w:t>3,747</w:t>
            </w:r>
          </w:p>
        </w:tc>
        <w:tc>
          <w:tcPr>
            <w:tcW w:w="270" w:type="dxa"/>
          </w:tcPr>
          <w:p w14:paraId="441A7D1C" w14:textId="77777777" w:rsidR="002D363C" w:rsidRPr="000D3DC5" w:rsidRDefault="002D363C" w:rsidP="00B55AAE">
            <w:pPr>
              <w:tabs>
                <w:tab w:val="right" w:pos="9180"/>
              </w:tabs>
              <w:ind w:right="-360"/>
            </w:pPr>
          </w:p>
        </w:tc>
        <w:tc>
          <w:tcPr>
            <w:tcW w:w="1530" w:type="dxa"/>
          </w:tcPr>
          <w:p w14:paraId="473E71F0" w14:textId="0B9C8B76" w:rsidR="002D363C" w:rsidRPr="000D3DC5" w:rsidRDefault="002D363C" w:rsidP="00B55AAE">
            <w:pPr>
              <w:tabs>
                <w:tab w:val="decimal" w:pos="1152"/>
                <w:tab w:val="right" w:pos="9180"/>
              </w:tabs>
              <w:ind w:right="-18"/>
            </w:pPr>
            <w:r w:rsidRPr="000D3DC5">
              <w:tab/>
            </w:r>
            <w:r>
              <w:t>3,998</w:t>
            </w:r>
          </w:p>
        </w:tc>
      </w:tr>
      <w:tr w:rsidR="002D363C" w:rsidRPr="000D3DC5" w14:paraId="12075390" w14:textId="77777777" w:rsidTr="00B55AAE">
        <w:tc>
          <w:tcPr>
            <w:tcW w:w="378" w:type="dxa"/>
          </w:tcPr>
          <w:p w14:paraId="1537ADB7" w14:textId="77777777" w:rsidR="002D363C" w:rsidRPr="000D3DC5" w:rsidRDefault="002D363C" w:rsidP="00B55AAE">
            <w:pPr>
              <w:ind w:right="-360"/>
            </w:pPr>
          </w:p>
        </w:tc>
        <w:tc>
          <w:tcPr>
            <w:tcW w:w="3060" w:type="dxa"/>
            <w:gridSpan w:val="3"/>
          </w:tcPr>
          <w:p w14:paraId="14100459" w14:textId="77777777" w:rsidR="002D363C" w:rsidRPr="000D3DC5" w:rsidRDefault="002D363C" w:rsidP="00B55AAE">
            <w:pPr>
              <w:tabs>
                <w:tab w:val="right" w:pos="9180"/>
              </w:tabs>
              <w:ind w:right="-360"/>
            </w:pPr>
            <w:r>
              <w:t>Interest expense</w:t>
            </w:r>
          </w:p>
        </w:tc>
        <w:tc>
          <w:tcPr>
            <w:tcW w:w="1530" w:type="dxa"/>
          </w:tcPr>
          <w:p w14:paraId="45838D05" w14:textId="77777777" w:rsidR="002D363C" w:rsidRPr="000D3DC5" w:rsidRDefault="002D363C" w:rsidP="00B55AAE">
            <w:pPr>
              <w:tabs>
                <w:tab w:val="decimal" w:pos="1152"/>
                <w:tab w:val="right" w:pos="9180"/>
              </w:tabs>
              <w:ind w:right="-18"/>
            </w:pPr>
            <w:r>
              <w:tab/>
              <w:t>-</w:t>
            </w:r>
          </w:p>
        </w:tc>
        <w:tc>
          <w:tcPr>
            <w:tcW w:w="270" w:type="dxa"/>
          </w:tcPr>
          <w:p w14:paraId="62C5C59E" w14:textId="77777777" w:rsidR="002D363C" w:rsidRPr="000D3DC5" w:rsidRDefault="002D363C" w:rsidP="00B55AAE">
            <w:pPr>
              <w:tabs>
                <w:tab w:val="right" w:pos="9180"/>
              </w:tabs>
              <w:ind w:right="-360"/>
            </w:pPr>
          </w:p>
        </w:tc>
        <w:tc>
          <w:tcPr>
            <w:tcW w:w="1440" w:type="dxa"/>
          </w:tcPr>
          <w:p w14:paraId="583B1F34" w14:textId="08449C35" w:rsidR="002D363C" w:rsidRPr="000D3DC5" w:rsidRDefault="002D363C" w:rsidP="00B55AAE">
            <w:pPr>
              <w:tabs>
                <w:tab w:val="decimal" w:pos="1062"/>
                <w:tab w:val="right" w:pos="9180"/>
              </w:tabs>
              <w:ind w:right="-46"/>
            </w:pPr>
            <w:r>
              <w:tab/>
              <w:t>-</w:t>
            </w:r>
          </w:p>
        </w:tc>
        <w:tc>
          <w:tcPr>
            <w:tcW w:w="450" w:type="dxa"/>
          </w:tcPr>
          <w:p w14:paraId="6F2901CD" w14:textId="77777777" w:rsidR="002D363C" w:rsidRPr="000D3DC5" w:rsidRDefault="002D363C" w:rsidP="00B55AAE">
            <w:pPr>
              <w:tabs>
                <w:tab w:val="right" w:pos="9180"/>
              </w:tabs>
              <w:ind w:right="-360"/>
            </w:pPr>
          </w:p>
        </w:tc>
        <w:tc>
          <w:tcPr>
            <w:tcW w:w="1440" w:type="dxa"/>
          </w:tcPr>
          <w:p w14:paraId="1337159A" w14:textId="7FE1389E" w:rsidR="002D363C" w:rsidRPr="000D3DC5" w:rsidRDefault="002D363C" w:rsidP="00B55AAE">
            <w:pPr>
              <w:tabs>
                <w:tab w:val="decimal" w:pos="1062"/>
                <w:tab w:val="right" w:pos="9180"/>
              </w:tabs>
              <w:ind w:right="-18"/>
            </w:pPr>
            <w:r>
              <w:tab/>
            </w:r>
            <w:r w:rsidR="00054F5F">
              <w:t>-</w:t>
            </w:r>
          </w:p>
        </w:tc>
        <w:tc>
          <w:tcPr>
            <w:tcW w:w="270" w:type="dxa"/>
          </w:tcPr>
          <w:p w14:paraId="43447FCC" w14:textId="77777777" w:rsidR="002D363C" w:rsidRPr="000D3DC5" w:rsidRDefault="002D363C" w:rsidP="00B55AAE">
            <w:pPr>
              <w:tabs>
                <w:tab w:val="right" w:pos="9180"/>
              </w:tabs>
              <w:ind w:right="-360"/>
            </w:pPr>
          </w:p>
        </w:tc>
        <w:tc>
          <w:tcPr>
            <w:tcW w:w="1530" w:type="dxa"/>
          </w:tcPr>
          <w:p w14:paraId="35E7A08F" w14:textId="74CE8ECF" w:rsidR="002D363C" w:rsidRPr="000D3DC5" w:rsidRDefault="002D363C" w:rsidP="00B55AAE">
            <w:pPr>
              <w:tabs>
                <w:tab w:val="decimal" w:pos="1152"/>
                <w:tab w:val="right" w:pos="9180"/>
              </w:tabs>
              <w:ind w:right="-18"/>
            </w:pPr>
            <w:r>
              <w:tab/>
              <w:t>(1,286)</w:t>
            </w:r>
          </w:p>
        </w:tc>
      </w:tr>
      <w:tr w:rsidR="002D363C" w:rsidRPr="000D3DC5" w14:paraId="7074A1B7" w14:textId="77777777" w:rsidTr="00B55AAE">
        <w:tc>
          <w:tcPr>
            <w:tcW w:w="378" w:type="dxa"/>
          </w:tcPr>
          <w:p w14:paraId="3E1D64F9" w14:textId="77777777" w:rsidR="002D363C" w:rsidRPr="000D3DC5" w:rsidRDefault="002D363C" w:rsidP="00B55AAE">
            <w:pPr>
              <w:ind w:right="-360"/>
            </w:pPr>
          </w:p>
        </w:tc>
        <w:tc>
          <w:tcPr>
            <w:tcW w:w="3060" w:type="dxa"/>
            <w:gridSpan w:val="3"/>
          </w:tcPr>
          <w:p w14:paraId="08B77E00" w14:textId="77777777" w:rsidR="002D363C" w:rsidRPr="000D3DC5" w:rsidRDefault="002D363C" w:rsidP="00B55AAE">
            <w:pPr>
              <w:tabs>
                <w:tab w:val="right" w:pos="9180"/>
              </w:tabs>
              <w:ind w:right="-360"/>
            </w:pPr>
            <w:r>
              <w:t>Gain on debt extinguishment</w:t>
            </w:r>
          </w:p>
        </w:tc>
        <w:tc>
          <w:tcPr>
            <w:tcW w:w="1530" w:type="dxa"/>
          </w:tcPr>
          <w:p w14:paraId="02697BCD" w14:textId="77777777" w:rsidR="002D363C" w:rsidRPr="000D3DC5" w:rsidRDefault="002D363C" w:rsidP="00B55AAE">
            <w:pPr>
              <w:tabs>
                <w:tab w:val="decimal" w:pos="1152"/>
                <w:tab w:val="right" w:pos="9180"/>
              </w:tabs>
              <w:ind w:right="-18"/>
            </w:pPr>
            <w:r>
              <w:tab/>
              <w:t>-</w:t>
            </w:r>
          </w:p>
        </w:tc>
        <w:tc>
          <w:tcPr>
            <w:tcW w:w="270" w:type="dxa"/>
          </w:tcPr>
          <w:p w14:paraId="23BF2AFC" w14:textId="77777777" w:rsidR="002D363C" w:rsidRPr="000D3DC5" w:rsidRDefault="002D363C" w:rsidP="00B55AAE">
            <w:pPr>
              <w:tabs>
                <w:tab w:val="right" w:pos="9180"/>
              </w:tabs>
              <w:ind w:right="-360"/>
            </w:pPr>
          </w:p>
        </w:tc>
        <w:tc>
          <w:tcPr>
            <w:tcW w:w="1440" w:type="dxa"/>
          </w:tcPr>
          <w:p w14:paraId="77E0D246" w14:textId="77777777" w:rsidR="002D363C" w:rsidRPr="000D3DC5" w:rsidRDefault="002D363C" w:rsidP="00B55AAE">
            <w:pPr>
              <w:tabs>
                <w:tab w:val="decimal" w:pos="1062"/>
                <w:tab w:val="right" w:pos="9180"/>
              </w:tabs>
              <w:ind w:right="-46"/>
            </w:pPr>
            <w:r>
              <w:tab/>
              <w:t>-</w:t>
            </w:r>
          </w:p>
        </w:tc>
        <w:tc>
          <w:tcPr>
            <w:tcW w:w="450" w:type="dxa"/>
          </w:tcPr>
          <w:p w14:paraId="06EFB847" w14:textId="77777777" w:rsidR="002D363C" w:rsidRPr="000D3DC5" w:rsidRDefault="002D363C" w:rsidP="00B55AAE">
            <w:pPr>
              <w:tabs>
                <w:tab w:val="right" w:pos="9180"/>
              </w:tabs>
              <w:ind w:right="-360"/>
            </w:pPr>
          </w:p>
        </w:tc>
        <w:tc>
          <w:tcPr>
            <w:tcW w:w="1440" w:type="dxa"/>
          </w:tcPr>
          <w:p w14:paraId="357D1E30" w14:textId="7E461376" w:rsidR="002D363C" w:rsidRPr="000D3DC5" w:rsidRDefault="002D363C" w:rsidP="00B55AAE">
            <w:pPr>
              <w:tabs>
                <w:tab w:val="decimal" w:pos="1062"/>
                <w:tab w:val="right" w:pos="9180"/>
              </w:tabs>
              <w:ind w:right="-18"/>
            </w:pPr>
            <w:r>
              <w:tab/>
            </w:r>
            <w:r w:rsidR="00054F5F">
              <w:t>-</w:t>
            </w:r>
          </w:p>
        </w:tc>
        <w:tc>
          <w:tcPr>
            <w:tcW w:w="270" w:type="dxa"/>
          </w:tcPr>
          <w:p w14:paraId="1BFBD93A" w14:textId="77777777" w:rsidR="002D363C" w:rsidRPr="000D3DC5" w:rsidRDefault="002D363C" w:rsidP="00B55AAE">
            <w:pPr>
              <w:tabs>
                <w:tab w:val="right" w:pos="9180"/>
              </w:tabs>
              <w:ind w:right="-360"/>
            </w:pPr>
          </w:p>
        </w:tc>
        <w:tc>
          <w:tcPr>
            <w:tcW w:w="1530" w:type="dxa"/>
          </w:tcPr>
          <w:p w14:paraId="27C94BFB" w14:textId="4A5F1D66" w:rsidR="002D363C" w:rsidRPr="000D3DC5" w:rsidRDefault="002D363C" w:rsidP="00B55AAE">
            <w:pPr>
              <w:tabs>
                <w:tab w:val="decimal" w:pos="1152"/>
                <w:tab w:val="right" w:pos="9180"/>
              </w:tabs>
              <w:ind w:right="-18"/>
            </w:pPr>
            <w:r>
              <w:tab/>
              <w:t>172,056</w:t>
            </w:r>
          </w:p>
        </w:tc>
      </w:tr>
      <w:tr w:rsidR="002D363C" w:rsidRPr="000D3DC5" w14:paraId="761F8381" w14:textId="77777777" w:rsidTr="00B55AAE">
        <w:tc>
          <w:tcPr>
            <w:tcW w:w="3438" w:type="dxa"/>
            <w:gridSpan w:val="4"/>
          </w:tcPr>
          <w:p w14:paraId="456CD8E6" w14:textId="77777777" w:rsidR="002D363C" w:rsidRPr="000D3DC5" w:rsidRDefault="002D363C" w:rsidP="00B55AAE">
            <w:pPr>
              <w:tabs>
                <w:tab w:val="right" w:pos="9180"/>
              </w:tabs>
              <w:ind w:right="-360"/>
            </w:pPr>
            <w:r>
              <w:t>Total other income (expense)</w:t>
            </w:r>
          </w:p>
        </w:tc>
        <w:tc>
          <w:tcPr>
            <w:tcW w:w="1530" w:type="dxa"/>
            <w:tcBorders>
              <w:top w:val="single" w:sz="4" w:space="0" w:color="auto"/>
            </w:tcBorders>
          </w:tcPr>
          <w:p w14:paraId="7BC9CD49" w14:textId="5E7E75BC" w:rsidR="002D363C" w:rsidRPr="000D3DC5" w:rsidRDefault="002D363C" w:rsidP="00B55AAE">
            <w:pPr>
              <w:tabs>
                <w:tab w:val="decimal" w:pos="1137"/>
                <w:tab w:val="right" w:pos="9180"/>
              </w:tabs>
              <w:ind w:right="-18"/>
            </w:pPr>
            <w:r>
              <w:tab/>
            </w:r>
            <w:r w:rsidR="00054F5F">
              <w:t>2,431</w:t>
            </w:r>
          </w:p>
        </w:tc>
        <w:tc>
          <w:tcPr>
            <w:tcW w:w="270" w:type="dxa"/>
          </w:tcPr>
          <w:p w14:paraId="07D572A4" w14:textId="77777777" w:rsidR="002D363C" w:rsidRPr="000D3DC5" w:rsidRDefault="002D363C" w:rsidP="00B55AAE">
            <w:pPr>
              <w:tabs>
                <w:tab w:val="right" w:pos="9180"/>
              </w:tabs>
              <w:ind w:right="-360"/>
            </w:pPr>
          </w:p>
        </w:tc>
        <w:tc>
          <w:tcPr>
            <w:tcW w:w="1440" w:type="dxa"/>
            <w:tcBorders>
              <w:top w:val="single" w:sz="4" w:space="0" w:color="auto"/>
            </w:tcBorders>
          </w:tcPr>
          <w:p w14:paraId="229BC0A4" w14:textId="73105861" w:rsidR="002D363C" w:rsidRPr="000D3DC5" w:rsidRDefault="002D363C" w:rsidP="00B55AAE">
            <w:pPr>
              <w:tabs>
                <w:tab w:val="decimal" w:pos="1043"/>
                <w:tab w:val="right" w:pos="9180"/>
              </w:tabs>
              <w:ind w:right="-46"/>
            </w:pPr>
            <w:r>
              <w:tab/>
              <w:t>877</w:t>
            </w:r>
          </w:p>
        </w:tc>
        <w:tc>
          <w:tcPr>
            <w:tcW w:w="450" w:type="dxa"/>
          </w:tcPr>
          <w:p w14:paraId="4C3A1CDC" w14:textId="77777777" w:rsidR="002D363C" w:rsidRPr="000D3DC5" w:rsidRDefault="002D363C" w:rsidP="00B55AAE">
            <w:pPr>
              <w:tabs>
                <w:tab w:val="right" w:pos="9180"/>
              </w:tabs>
              <w:ind w:right="-360"/>
            </w:pPr>
          </w:p>
        </w:tc>
        <w:tc>
          <w:tcPr>
            <w:tcW w:w="1440" w:type="dxa"/>
            <w:tcBorders>
              <w:top w:val="single" w:sz="4" w:space="0" w:color="auto"/>
            </w:tcBorders>
          </w:tcPr>
          <w:p w14:paraId="6C71F01F" w14:textId="6E2AE677" w:rsidR="002D363C" w:rsidRPr="000D3DC5" w:rsidRDefault="002D363C" w:rsidP="00B55AAE">
            <w:pPr>
              <w:tabs>
                <w:tab w:val="decimal" w:pos="1042"/>
                <w:tab w:val="right" w:pos="9180"/>
              </w:tabs>
              <w:ind w:right="-18"/>
            </w:pPr>
            <w:r>
              <w:tab/>
            </w:r>
            <w:r w:rsidR="00054F5F">
              <w:t>3,747</w:t>
            </w:r>
          </w:p>
        </w:tc>
        <w:tc>
          <w:tcPr>
            <w:tcW w:w="270" w:type="dxa"/>
          </w:tcPr>
          <w:p w14:paraId="6A15CB0C" w14:textId="77777777" w:rsidR="002D363C" w:rsidRPr="000D3DC5" w:rsidRDefault="002D363C" w:rsidP="00B55AAE">
            <w:pPr>
              <w:tabs>
                <w:tab w:val="right" w:pos="9180"/>
              </w:tabs>
              <w:ind w:right="-360"/>
            </w:pPr>
          </w:p>
        </w:tc>
        <w:tc>
          <w:tcPr>
            <w:tcW w:w="1530" w:type="dxa"/>
            <w:tcBorders>
              <w:top w:val="single" w:sz="4" w:space="0" w:color="auto"/>
            </w:tcBorders>
          </w:tcPr>
          <w:p w14:paraId="611B79E0" w14:textId="72EC40C6" w:rsidR="002D363C" w:rsidRPr="000D3DC5" w:rsidRDefault="002D363C" w:rsidP="00B55AAE">
            <w:pPr>
              <w:tabs>
                <w:tab w:val="decimal" w:pos="1140"/>
                <w:tab w:val="right" w:pos="9180"/>
              </w:tabs>
              <w:ind w:right="-18"/>
            </w:pPr>
            <w:r>
              <w:tab/>
              <w:t>174,768</w:t>
            </w:r>
          </w:p>
        </w:tc>
      </w:tr>
      <w:tr w:rsidR="002D363C" w:rsidRPr="000D3DC5" w14:paraId="3D70A094" w14:textId="77777777" w:rsidTr="00B55AAE">
        <w:tc>
          <w:tcPr>
            <w:tcW w:w="378" w:type="dxa"/>
          </w:tcPr>
          <w:p w14:paraId="3204D2BE" w14:textId="77777777" w:rsidR="002D363C" w:rsidRPr="000D3DC5" w:rsidRDefault="002D363C" w:rsidP="00B55AAE">
            <w:pPr>
              <w:ind w:right="-360"/>
            </w:pPr>
          </w:p>
        </w:tc>
        <w:tc>
          <w:tcPr>
            <w:tcW w:w="450" w:type="dxa"/>
          </w:tcPr>
          <w:p w14:paraId="7E1585A2" w14:textId="77777777" w:rsidR="002D363C" w:rsidRPr="000D3DC5" w:rsidRDefault="002D363C" w:rsidP="00B55AAE">
            <w:pPr>
              <w:ind w:right="-360"/>
            </w:pPr>
          </w:p>
        </w:tc>
        <w:tc>
          <w:tcPr>
            <w:tcW w:w="450" w:type="dxa"/>
          </w:tcPr>
          <w:p w14:paraId="1AB4840D" w14:textId="77777777" w:rsidR="002D363C" w:rsidRPr="000D3DC5" w:rsidRDefault="002D363C" w:rsidP="00B55AAE">
            <w:pPr>
              <w:ind w:right="-360"/>
            </w:pPr>
          </w:p>
        </w:tc>
        <w:tc>
          <w:tcPr>
            <w:tcW w:w="2160" w:type="dxa"/>
          </w:tcPr>
          <w:p w14:paraId="1A3AA54A" w14:textId="77777777" w:rsidR="002D363C" w:rsidRPr="000D3DC5" w:rsidRDefault="002D363C" w:rsidP="00B55AAE">
            <w:pPr>
              <w:tabs>
                <w:tab w:val="right" w:pos="9180"/>
              </w:tabs>
              <w:ind w:right="-360"/>
            </w:pPr>
          </w:p>
        </w:tc>
        <w:tc>
          <w:tcPr>
            <w:tcW w:w="1530" w:type="dxa"/>
            <w:tcBorders>
              <w:top w:val="single" w:sz="4" w:space="0" w:color="auto"/>
            </w:tcBorders>
          </w:tcPr>
          <w:p w14:paraId="56E3D50F" w14:textId="77777777" w:rsidR="002D363C" w:rsidRPr="000D3DC5" w:rsidRDefault="002D363C" w:rsidP="00B55AAE">
            <w:pPr>
              <w:tabs>
                <w:tab w:val="right" w:pos="9180"/>
              </w:tabs>
              <w:ind w:right="-18"/>
            </w:pPr>
          </w:p>
        </w:tc>
        <w:tc>
          <w:tcPr>
            <w:tcW w:w="270" w:type="dxa"/>
          </w:tcPr>
          <w:p w14:paraId="7D717DBB" w14:textId="77777777" w:rsidR="002D363C" w:rsidRPr="000D3DC5" w:rsidRDefault="002D363C" w:rsidP="00B55AAE">
            <w:pPr>
              <w:tabs>
                <w:tab w:val="right" w:pos="9180"/>
              </w:tabs>
              <w:ind w:right="-360"/>
            </w:pPr>
          </w:p>
        </w:tc>
        <w:tc>
          <w:tcPr>
            <w:tcW w:w="1440" w:type="dxa"/>
            <w:tcBorders>
              <w:top w:val="single" w:sz="4" w:space="0" w:color="auto"/>
            </w:tcBorders>
          </w:tcPr>
          <w:p w14:paraId="05F1749C" w14:textId="77777777" w:rsidR="002D363C" w:rsidRPr="000D3DC5" w:rsidRDefault="002D363C" w:rsidP="00B55AAE">
            <w:pPr>
              <w:tabs>
                <w:tab w:val="right" w:pos="9180"/>
              </w:tabs>
              <w:ind w:right="-46"/>
            </w:pPr>
          </w:p>
        </w:tc>
        <w:tc>
          <w:tcPr>
            <w:tcW w:w="450" w:type="dxa"/>
          </w:tcPr>
          <w:p w14:paraId="1B1339F3" w14:textId="77777777" w:rsidR="002D363C" w:rsidRPr="000D3DC5" w:rsidRDefault="002D363C" w:rsidP="00B55AAE">
            <w:pPr>
              <w:tabs>
                <w:tab w:val="right" w:pos="9180"/>
              </w:tabs>
              <w:ind w:right="-360"/>
            </w:pPr>
          </w:p>
        </w:tc>
        <w:tc>
          <w:tcPr>
            <w:tcW w:w="1440" w:type="dxa"/>
            <w:tcBorders>
              <w:top w:val="single" w:sz="4" w:space="0" w:color="auto"/>
            </w:tcBorders>
          </w:tcPr>
          <w:p w14:paraId="4BA2D85F" w14:textId="77777777" w:rsidR="002D363C" w:rsidRPr="000D3DC5" w:rsidRDefault="002D363C" w:rsidP="00B55AAE">
            <w:pPr>
              <w:tabs>
                <w:tab w:val="right" w:pos="9180"/>
              </w:tabs>
              <w:ind w:right="-18"/>
            </w:pPr>
          </w:p>
        </w:tc>
        <w:tc>
          <w:tcPr>
            <w:tcW w:w="270" w:type="dxa"/>
          </w:tcPr>
          <w:p w14:paraId="41539E16" w14:textId="77777777" w:rsidR="002D363C" w:rsidRPr="000D3DC5" w:rsidRDefault="002D363C" w:rsidP="00B55AAE">
            <w:pPr>
              <w:tabs>
                <w:tab w:val="right" w:pos="9180"/>
              </w:tabs>
              <w:ind w:right="-360"/>
            </w:pPr>
          </w:p>
        </w:tc>
        <w:tc>
          <w:tcPr>
            <w:tcW w:w="1530" w:type="dxa"/>
            <w:tcBorders>
              <w:top w:val="single" w:sz="4" w:space="0" w:color="auto"/>
            </w:tcBorders>
          </w:tcPr>
          <w:p w14:paraId="3FE48936" w14:textId="77777777" w:rsidR="002D363C" w:rsidRPr="000D3DC5" w:rsidRDefault="002D363C" w:rsidP="00B55AAE">
            <w:pPr>
              <w:tabs>
                <w:tab w:val="right" w:pos="9180"/>
              </w:tabs>
              <w:ind w:right="-18"/>
            </w:pPr>
          </w:p>
        </w:tc>
      </w:tr>
      <w:tr w:rsidR="002D363C" w:rsidRPr="000D3DC5" w14:paraId="6F8EA8FB" w14:textId="77777777" w:rsidTr="00B55AAE">
        <w:tc>
          <w:tcPr>
            <w:tcW w:w="3438" w:type="dxa"/>
            <w:gridSpan w:val="4"/>
          </w:tcPr>
          <w:p w14:paraId="24CD1DF1" w14:textId="77777777" w:rsidR="002D363C" w:rsidRPr="000D3DC5" w:rsidRDefault="002D363C" w:rsidP="00B55AAE">
            <w:pPr>
              <w:tabs>
                <w:tab w:val="right" w:pos="9180"/>
              </w:tabs>
              <w:ind w:right="-360"/>
            </w:pPr>
            <w:r>
              <w:t>Net loss</w:t>
            </w:r>
          </w:p>
        </w:tc>
        <w:tc>
          <w:tcPr>
            <w:tcW w:w="1530" w:type="dxa"/>
            <w:tcBorders>
              <w:bottom w:val="double" w:sz="4" w:space="0" w:color="auto"/>
            </w:tcBorders>
          </w:tcPr>
          <w:p w14:paraId="6C0267A9" w14:textId="0AAA406E" w:rsidR="002D363C" w:rsidRPr="000D3DC5" w:rsidRDefault="002D363C" w:rsidP="00B55AAE">
            <w:pPr>
              <w:tabs>
                <w:tab w:val="decimal" w:pos="1152"/>
                <w:tab w:val="right" w:pos="9180"/>
              </w:tabs>
              <w:ind w:right="-18"/>
            </w:pPr>
            <w:r w:rsidRPr="000D3DC5">
              <w:t>$</w:t>
            </w:r>
            <w:r w:rsidRPr="000D3DC5">
              <w:tab/>
            </w:r>
            <w:r w:rsidR="00054F5F">
              <w:t>(3,9</w:t>
            </w:r>
            <w:r w:rsidR="00D12423">
              <w:t>6</w:t>
            </w:r>
            <w:r w:rsidR="00054F5F">
              <w:t>8,102)</w:t>
            </w:r>
          </w:p>
        </w:tc>
        <w:tc>
          <w:tcPr>
            <w:tcW w:w="270" w:type="dxa"/>
          </w:tcPr>
          <w:p w14:paraId="334FB8AE" w14:textId="77777777" w:rsidR="002D363C" w:rsidRPr="000D3DC5" w:rsidRDefault="002D363C" w:rsidP="00B55AAE">
            <w:pPr>
              <w:tabs>
                <w:tab w:val="right" w:pos="9180"/>
              </w:tabs>
              <w:ind w:right="-360"/>
            </w:pPr>
          </w:p>
        </w:tc>
        <w:tc>
          <w:tcPr>
            <w:tcW w:w="1440" w:type="dxa"/>
            <w:tcBorders>
              <w:bottom w:val="double" w:sz="4" w:space="0" w:color="auto"/>
            </w:tcBorders>
          </w:tcPr>
          <w:p w14:paraId="146CAF79" w14:textId="7725E177" w:rsidR="002D363C" w:rsidRPr="000D3DC5" w:rsidRDefault="002D363C" w:rsidP="00B55AAE">
            <w:pPr>
              <w:tabs>
                <w:tab w:val="decimal" w:pos="1062"/>
                <w:tab w:val="right" w:pos="9180"/>
              </w:tabs>
              <w:ind w:right="-46"/>
            </w:pPr>
            <w:r>
              <w:t>$</w:t>
            </w:r>
            <w:r>
              <w:tab/>
              <w:t>(1,950,503)</w:t>
            </w:r>
          </w:p>
        </w:tc>
        <w:tc>
          <w:tcPr>
            <w:tcW w:w="450" w:type="dxa"/>
          </w:tcPr>
          <w:p w14:paraId="28947AA4" w14:textId="77777777" w:rsidR="002D363C" w:rsidRPr="000D3DC5" w:rsidRDefault="002D363C" w:rsidP="00B55AAE">
            <w:pPr>
              <w:tabs>
                <w:tab w:val="right" w:pos="9180"/>
              </w:tabs>
              <w:ind w:right="-360"/>
            </w:pPr>
          </w:p>
        </w:tc>
        <w:tc>
          <w:tcPr>
            <w:tcW w:w="1440" w:type="dxa"/>
            <w:tcBorders>
              <w:bottom w:val="double" w:sz="4" w:space="0" w:color="auto"/>
            </w:tcBorders>
          </w:tcPr>
          <w:p w14:paraId="6331BC91" w14:textId="4076762E" w:rsidR="002D363C" w:rsidRPr="000D3DC5" w:rsidRDefault="002D363C" w:rsidP="00B55AAE">
            <w:pPr>
              <w:tabs>
                <w:tab w:val="decimal" w:pos="1044"/>
                <w:tab w:val="right" w:pos="9180"/>
              </w:tabs>
              <w:ind w:right="-18"/>
            </w:pPr>
            <w:r w:rsidRPr="000D3DC5">
              <w:t>$</w:t>
            </w:r>
            <w:r w:rsidRPr="000D3DC5">
              <w:tab/>
            </w:r>
            <w:r w:rsidR="00054F5F">
              <w:t>(8,6</w:t>
            </w:r>
            <w:r w:rsidR="00D12423">
              <w:t>3</w:t>
            </w:r>
            <w:r w:rsidR="00054F5F">
              <w:t>7,316)</w:t>
            </w:r>
          </w:p>
        </w:tc>
        <w:tc>
          <w:tcPr>
            <w:tcW w:w="270" w:type="dxa"/>
          </w:tcPr>
          <w:p w14:paraId="061C0276" w14:textId="77777777" w:rsidR="002D363C" w:rsidRPr="000D3DC5" w:rsidRDefault="002D363C" w:rsidP="00B55AAE">
            <w:pPr>
              <w:tabs>
                <w:tab w:val="right" w:pos="9180"/>
              </w:tabs>
              <w:ind w:right="-360"/>
            </w:pPr>
          </w:p>
        </w:tc>
        <w:tc>
          <w:tcPr>
            <w:tcW w:w="1530" w:type="dxa"/>
            <w:tcBorders>
              <w:bottom w:val="double" w:sz="4" w:space="0" w:color="auto"/>
            </w:tcBorders>
          </w:tcPr>
          <w:p w14:paraId="7B971F09" w14:textId="6DE78E67" w:rsidR="002D363C" w:rsidRPr="000D3DC5" w:rsidRDefault="002D363C" w:rsidP="00B55AAE">
            <w:pPr>
              <w:tabs>
                <w:tab w:val="decimal" w:pos="1152"/>
                <w:tab w:val="right" w:pos="9180"/>
              </w:tabs>
              <w:ind w:right="-18"/>
            </w:pPr>
            <w:r>
              <w:t>$</w:t>
            </w:r>
            <w:r>
              <w:tab/>
              <w:t>(4,827,314)</w:t>
            </w:r>
          </w:p>
        </w:tc>
      </w:tr>
      <w:tr w:rsidR="002D363C" w:rsidRPr="000D3DC5" w14:paraId="660E9EE0" w14:textId="77777777" w:rsidTr="00B55AAE">
        <w:tc>
          <w:tcPr>
            <w:tcW w:w="378" w:type="dxa"/>
          </w:tcPr>
          <w:p w14:paraId="4EF5AA2E" w14:textId="77777777" w:rsidR="002D363C" w:rsidRPr="000D3DC5" w:rsidRDefault="002D363C" w:rsidP="00B55AAE">
            <w:pPr>
              <w:ind w:right="-360"/>
            </w:pPr>
          </w:p>
        </w:tc>
        <w:tc>
          <w:tcPr>
            <w:tcW w:w="450" w:type="dxa"/>
          </w:tcPr>
          <w:p w14:paraId="418E906F" w14:textId="77777777" w:rsidR="002D363C" w:rsidRPr="000D3DC5" w:rsidRDefault="002D363C" w:rsidP="00B55AAE">
            <w:pPr>
              <w:ind w:right="-360"/>
            </w:pPr>
          </w:p>
        </w:tc>
        <w:tc>
          <w:tcPr>
            <w:tcW w:w="450" w:type="dxa"/>
          </w:tcPr>
          <w:p w14:paraId="1547D77B" w14:textId="77777777" w:rsidR="002D363C" w:rsidRPr="000D3DC5" w:rsidRDefault="002D363C" w:rsidP="00B55AAE">
            <w:pPr>
              <w:ind w:right="-360"/>
            </w:pPr>
          </w:p>
        </w:tc>
        <w:tc>
          <w:tcPr>
            <w:tcW w:w="2160" w:type="dxa"/>
          </w:tcPr>
          <w:p w14:paraId="00224568" w14:textId="77777777" w:rsidR="002D363C" w:rsidRPr="000D3DC5" w:rsidRDefault="002D363C" w:rsidP="00B55AAE">
            <w:pPr>
              <w:tabs>
                <w:tab w:val="right" w:pos="9180"/>
              </w:tabs>
              <w:ind w:right="-360"/>
            </w:pPr>
          </w:p>
        </w:tc>
        <w:tc>
          <w:tcPr>
            <w:tcW w:w="1530" w:type="dxa"/>
          </w:tcPr>
          <w:p w14:paraId="3DCD5157" w14:textId="77777777" w:rsidR="002D363C" w:rsidRPr="000D3DC5" w:rsidRDefault="002D363C" w:rsidP="00B55AAE">
            <w:pPr>
              <w:tabs>
                <w:tab w:val="right" w:pos="9180"/>
              </w:tabs>
              <w:ind w:right="-18"/>
            </w:pPr>
          </w:p>
        </w:tc>
        <w:tc>
          <w:tcPr>
            <w:tcW w:w="270" w:type="dxa"/>
          </w:tcPr>
          <w:p w14:paraId="08B6570B" w14:textId="77777777" w:rsidR="002D363C" w:rsidRPr="000D3DC5" w:rsidRDefault="002D363C" w:rsidP="00B55AAE">
            <w:pPr>
              <w:tabs>
                <w:tab w:val="right" w:pos="9180"/>
              </w:tabs>
              <w:ind w:right="-360"/>
            </w:pPr>
          </w:p>
        </w:tc>
        <w:tc>
          <w:tcPr>
            <w:tcW w:w="1440" w:type="dxa"/>
          </w:tcPr>
          <w:p w14:paraId="5635FA17" w14:textId="77777777" w:rsidR="002D363C" w:rsidRPr="000D3DC5" w:rsidRDefault="002D363C" w:rsidP="00B55AAE">
            <w:pPr>
              <w:tabs>
                <w:tab w:val="right" w:pos="9180"/>
              </w:tabs>
              <w:ind w:right="-46"/>
            </w:pPr>
          </w:p>
        </w:tc>
        <w:tc>
          <w:tcPr>
            <w:tcW w:w="450" w:type="dxa"/>
          </w:tcPr>
          <w:p w14:paraId="6FC82DED" w14:textId="77777777" w:rsidR="002D363C" w:rsidRPr="000D3DC5" w:rsidRDefault="002D363C" w:rsidP="00B55AAE">
            <w:pPr>
              <w:tabs>
                <w:tab w:val="right" w:pos="9180"/>
              </w:tabs>
              <w:ind w:right="-360"/>
            </w:pPr>
          </w:p>
        </w:tc>
        <w:tc>
          <w:tcPr>
            <w:tcW w:w="1440" w:type="dxa"/>
          </w:tcPr>
          <w:p w14:paraId="6D96DAAD" w14:textId="77777777" w:rsidR="002D363C" w:rsidRPr="000D3DC5" w:rsidRDefault="002D363C" w:rsidP="00B55AAE">
            <w:pPr>
              <w:tabs>
                <w:tab w:val="right" w:pos="9180"/>
              </w:tabs>
              <w:ind w:right="-18"/>
            </w:pPr>
          </w:p>
        </w:tc>
        <w:tc>
          <w:tcPr>
            <w:tcW w:w="270" w:type="dxa"/>
          </w:tcPr>
          <w:p w14:paraId="4F50092C" w14:textId="77777777" w:rsidR="002D363C" w:rsidRPr="000D3DC5" w:rsidRDefault="002D363C" w:rsidP="00B55AAE">
            <w:pPr>
              <w:tabs>
                <w:tab w:val="right" w:pos="9180"/>
              </w:tabs>
              <w:ind w:right="-360"/>
            </w:pPr>
          </w:p>
        </w:tc>
        <w:tc>
          <w:tcPr>
            <w:tcW w:w="1530" w:type="dxa"/>
          </w:tcPr>
          <w:p w14:paraId="4C7CAD3B" w14:textId="77777777" w:rsidR="002D363C" w:rsidRPr="000D3DC5" w:rsidRDefault="002D363C" w:rsidP="00B55AAE">
            <w:pPr>
              <w:tabs>
                <w:tab w:val="right" w:pos="9180"/>
              </w:tabs>
              <w:ind w:right="-18"/>
            </w:pPr>
          </w:p>
        </w:tc>
      </w:tr>
      <w:tr w:rsidR="002D363C" w:rsidRPr="000D3DC5" w14:paraId="7331BE54" w14:textId="77777777" w:rsidTr="00B55AAE">
        <w:tc>
          <w:tcPr>
            <w:tcW w:w="3438" w:type="dxa"/>
            <w:gridSpan w:val="4"/>
          </w:tcPr>
          <w:p w14:paraId="59F1ED89" w14:textId="77777777" w:rsidR="002D363C" w:rsidRPr="000D3DC5" w:rsidRDefault="002D363C" w:rsidP="00B55AAE">
            <w:pPr>
              <w:tabs>
                <w:tab w:val="right" w:pos="9180"/>
              </w:tabs>
              <w:ind w:right="-360"/>
            </w:pPr>
            <w:r w:rsidRPr="000D3DC5">
              <w:t>Basic and diluted:</w:t>
            </w:r>
          </w:p>
        </w:tc>
        <w:tc>
          <w:tcPr>
            <w:tcW w:w="1530" w:type="dxa"/>
          </w:tcPr>
          <w:p w14:paraId="31328BC5" w14:textId="77777777" w:rsidR="002D363C" w:rsidRPr="000D3DC5" w:rsidRDefault="002D363C" w:rsidP="00B55AAE">
            <w:pPr>
              <w:tabs>
                <w:tab w:val="decimal" w:pos="792"/>
                <w:tab w:val="right" w:pos="9180"/>
              </w:tabs>
              <w:ind w:right="-18"/>
            </w:pPr>
          </w:p>
        </w:tc>
        <w:tc>
          <w:tcPr>
            <w:tcW w:w="270" w:type="dxa"/>
          </w:tcPr>
          <w:p w14:paraId="7B28C6BA" w14:textId="77777777" w:rsidR="002D363C" w:rsidRPr="000D3DC5" w:rsidRDefault="002D363C" w:rsidP="00B55AAE">
            <w:pPr>
              <w:tabs>
                <w:tab w:val="right" w:pos="9180"/>
              </w:tabs>
              <w:ind w:right="-360"/>
            </w:pPr>
          </w:p>
        </w:tc>
        <w:tc>
          <w:tcPr>
            <w:tcW w:w="1440" w:type="dxa"/>
          </w:tcPr>
          <w:p w14:paraId="665CB651" w14:textId="77777777" w:rsidR="002D363C" w:rsidRPr="00F31ABA" w:rsidRDefault="002D363C" w:rsidP="00B55AAE">
            <w:pPr>
              <w:tabs>
                <w:tab w:val="decimal" w:pos="612"/>
                <w:tab w:val="right" w:pos="9180"/>
              </w:tabs>
              <w:ind w:right="-46"/>
            </w:pPr>
          </w:p>
        </w:tc>
        <w:tc>
          <w:tcPr>
            <w:tcW w:w="450" w:type="dxa"/>
          </w:tcPr>
          <w:p w14:paraId="0DCB3F3C" w14:textId="77777777" w:rsidR="002D363C" w:rsidRPr="00F31ABA" w:rsidRDefault="002D363C" w:rsidP="00B55AAE">
            <w:pPr>
              <w:tabs>
                <w:tab w:val="right" w:pos="9180"/>
              </w:tabs>
              <w:ind w:right="-360"/>
            </w:pPr>
          </w:p>
        </w:tc>
        <w:tc>
          <w:tcPr>
            <w:tcW w:w="1440" w:type="dxa"/>
          </w:tcPr>
          <w:p w14:paraId="4945934C" w14:textId="77777777" w:rsidR="002D363C" w:rsidRPr="00F31ABA" w:rsidRDefault="002D363C" w:rsidP="00B55AAE">
            <w:pPr>
              <w:tabs>
                <w:tab w:val="decimal" w:pos="792"/>
                <w:tab w:val="right" w:pos="9180"/>
              </w:tabs>
              <w:ind w:right="-18"/>
            </w:pPr>
          </w:p>
        </w:tc>
        <w:tc>
          <w:tcPr>
            <w:tcW w:w="270" w:type="dxa"/>
          </w:tcPr>
          <w:p w14:paraId="0D30B4C9" w14:textId="77777777" w:rsidR="002D363C" w:rsidRPr="00F31ABA" w:rsidRDefault="002D363C" w:rsidP="00B55AAE">
            <w:pPr>
              <w:tabs>
                <w:tab w:val="right" w:pos="9180"/>
              </w:tabs>
              <w:ind w:right="-360"/>
            </w:pPr>
          </w:p>
        </w:tc>
        <w:tc>
          <w:tcPr>
            <w:tcW w:w="1530" w:type="dxa"/>
          </w:tcPr>
          <w:p w14:paraId="20944542" w14:textId="77777777" w:rsidR="002D363C" w:rsidRPr="00F31ABA" w:rsidRDefault="002D363C" w:rsidP="00B55AAE">
            <w:pPr>
              <w:tabs>
                <w:tab w:val="decimal" w:pos="702"/>
                <w:tab w:val="right" w:pos="9180"/>
              </w:tabs>
              <w:ind w:right="-18"/>
            </w:pPr>
          </w:p>
        </w:tc>
      </w:tr>
      <w:tr w:rsidR="002D363C" w:rsidRPr="000D3DC5" w14:paraId="54D3E15A" w14:textId="77777777" w:rsidTr="00B55AAE">
        <w:tc>
          <w:tcPr>
            <w:tcW w:w="3438" w:type="dxa"/>
            <w:gridSpan w:val="4"/>
          </w:tcPr>
          <w:p w14:paraId="565F960C" w14:textId="77777777" w:rsidR="002D363C" w:rsidRPr="00342196" w:rsidRDefault="002D363C" w:rsidP="00B55AAE">
            <w:pPr>
              <w:tabs>
                <w:tab w:val="right" w:pos="9180"/>
              </w:tabs>
              <w:ind w:right="-360"/>
            </w:pPr>
            <w:r>
              <w:t xml:space="preserve">  Net l</w:t>
            </w:r>
            <w:r w:rsidRPr="00342196">
              <w:t>oss per common share</w:t>
            </w:r>
          </w:p>
        </w:tc>
        <w:tc>
          <w:tcPr>
            <w:tcW w:w="1530" w:type="dxa"/>
          </w:tcPr>
          <w:p w14:paraId="2C0C3C2D" w14:textId="136B051F" w:rsidR="002D363C" w:rsidRPr="00342196" w:rsidRDefault="002D363C" w:rsidP="00B55AAE">
            <w:pPr>
              <w:tabs>
                <w:tab w:val="decimal" w:pos="882"/>
                <w:tab w:val="right" w:pos="9180"/>
              </w:tabs>
              <w:ind w:right="-18"/>
            </w:pPr>
            <w:r w:rsidRPr="00342196">
              <w:t>$</w:t>
            </w:r>
            <w:r w:rsidRPr="00342196">
              <w:tab/>
            </w:r>
            <w:r w:rsidR="00054F5F">
              <w:t>(0.17)</w:t>
            </w:r>
          </w:p>
        </w:tc>
        <w:tc>
          <w:tcPr>
            <w:tcW w:w="270" w:type="dxa"/>
          </w:tcPr>
          <w:p w14:paraId="6C6D60D0" w14:textId="77777777" w:rsidR="002D363C" w:rsidRPr="00342196" w:rsidRDefault="002D363C" w:rsidP="00B55AAE">
            <w:pPr>
              <w:tabs>
                <w:tab w:val="right" w:pos="9180"/>
              </w:tabs>
              <w:ind w:right="-360"/>
            </w:pPr>
          </w:p>
        </w:tc>
        <w:tc>
          <w:tcPr>
            <w:tcW w:w="1440" w:type="dxa"/>
          </w:tcPr>
          <w:p w14:paraId="3B27FCEE" w14:textId="43673671" w:rsidR="002D363C" w:rsidRPr="006E6EBD" w:rsidRDefault="002D363C" w:rsidP="00B55AAE">
            <w:pPr>
              <w:tabs>
                <w:tab w:val="decimal" w:pos="792"/>
                <w:tab w:val="right" w:pos="9180"/>
              </w:tabs>
              <w:ind w:right="-46"/>
            </w:pPr>
            <w:r w:rsidRPr="006E6EBD">
              <w:t>$</w:t>
            </w:r>
            <w:r w:rsidRPr="006E6EBD">
              <w:tab/>
              <w:t>(0.</w:t>
            </w:r>
            <w:r>
              <w:t>31</w:t>
            </w:r>
            <w:r w:rsidRPr="006E6EBD">
              <w:t>)</w:t>
            </w:r>
          </w:p>
        </w:tc>
        <w:tc>
          <w:tcPr>
            <w:tcW w:w="450" w:type="dxa"/>
          </w:tcPr>
          <w:p w14:paraId="081F098F" w14:textId="77777777" w:rsidR="002D363C" w:rsidRPr="006E6EBD" w:rsidRDefault="002D363C" w:rsidP="00B55AAE">
            <w:pPr>
              <w:tabs>
                <w:tab w:val="right" w:pos="9180"/>
              </w:tabs>
              <w:ind w:right="-360"/>
            </w:pPr>
          </w:p>
        </w:tc>
        <w:tc>
          <w:tcPr>
            <w:tcW w:w="1440" w:type="dxa"/>
          </w:tcPr>
          <w:p w14:paraId="29BE7749" w14:textId="1BA0A1B9" w:rsidR="002D363C" w:rsidRPr="006E6EBD" w:rsidRDefault="002D363C" w:rsidP="00B55AAE">
            <w:pPr>
              <w:tabs>
                <w:tab w:val="decimal" w:pos="792"/>
                <w:tab w:val="right" w:pos="9180"/>
              </w:tabs>
              <w:ind w:right="-18"/>
            </w:pPr>
            <w:r w:rsidRPr="006E6EBD">
              <w:t>$</w:t>
            </w:r>
            <w:r w:rsidRPr="006E6EBD">
              <w:tab/>
            </w:r>
            <w:r w:rsidR="00054F5F">
              <w:t>(0.6</w:t>
            </w:r>
            <w:r w:rsidR="00D12423">
              <w:t>3</w:t>
            </w:r>
            <w:r w:rsidR="00054F5F">
              <w:t>)</w:t>
            </w:r>
          </w:p>
        </w:tc>
        <w:tc>
          <w:tcPr>
            <w:tcW w:w="270" w:type="dxa"/>
          </w:tcPr>
          <w:p w14:paraId="0AF2F82D" w14:textId="77777777" w:rsidR="002D363C" w:rsidRPr="006E6EBD" w:rsidRDefault="002D363C" w:rsidP="00B55AAE">
            <w:pPr>
              <w:tabs>
                <w:tab w:val="right" w:pos="9180"/>
              </w:tabs>
              <w:ind w:right="-360"/>
            </w:pPr>
          </w:p>
        </w:tc>
        <w:tc>
          <w:tcPr>
            <w:tcW w:w="1530" w:type="dxa"/>
          </w:tcPr>
          <w:p w14:paraId="262782DB" w14:textId="66825ABF" w:rsidR="002D363C" w:rsidRPr="006E6EBD" w:rsidRDefault="002D363C" w:rsidP="00B55AAE">
            <w:pPr>
              <w:tabs>
                <w:tab w:val="decimal" w:pos="882"/>
                <w:tab w:val="right" w:pos="9180"/>
              </w:tabs>
              <w:ind w:right="-18"/>
            </w:pPr>
            <w:r w:rsidRPr="006E6EBD">
              <w:t>$</w:t>
            </w:r>
            <w:r w:rsidRPr="006E6EBD">
              <w:tab/>
              <w:t>(</w:t>
            </w:r>
            <w:r>
              <w:t>0.80</w:t>
            </w:r>
            <w:r w:rsidRPr="006E6EBD">
              <w:t>)</w:t>
            </w:r>
          </w:p>
        </w:tc>
      </w:tr>
      <w:tr w:rsidR="002D363C" w:rsidRPr="000D3DC5" w14:paraId="774EC5CE" w14:textId="77777777" w:rsidTr="00B55AAE">
        <w:tc>
          <w:tcPr>
            <w:tcW w:w="3438" w:type="dxa"/>
            <w:gridSpan w:val="4"/>
          </w:tcPr>
          <w:p w14:paraId="5F7912B5" w14:textId="77777777" w:rsidR="002D363C" w:rsidRPr="000D3DC5" w:rsidRDefault="002D363C" w:rsidP="00B55AAE">
            <w:pPr>
              <w:tabs>
                <w:tab w:val="right" w:pos="9180"/>
              </w:tabs>
              <w:ind w:right="-360"/>
            </w:pPr>
            <w:r>
              <w:t xml:space="preserve">  Weighted average shares outstanding</w:t>
            </w:r>
          </w:p>
        </w:tc>
        <w:tc>
          <w:tcPr>
            <w:tcW w:w="1530" w:type="dxa"/>
          </w:tcPr>
          <w:p w14:paraId="42CFA1DD" w14:textId="4A251FEA" w:rsidR="002D363C" w:rsidRPr="000D3DC5" w:rsidRDefault="002D363C" w:rsidP="00B55AAE">
            <w:pPr>
              <w:tabs>
                <w:tab w:val="decimal" w:pos="1152"/>
                <w:tab w:val="right" w:pos="9180"/>
              </w:tabs>
              <w:ind w:right="-18"/>
            </w:pPr>
            <w:r>
              <w:tab/>
            </w:r>
            <w:r w:rsidR="00DA08C0">
              <w:t>23,461,665</w:t>
            </w:r>
          </w:p>
        </w:tc>
        <w:tc>
          <w:tcPr>
            <w:tcW w:w="270" w:type="dxa"/>
          </w:tcPr>
          <w:p w14:paraId="32817BA5" w14:textId="77777777" w:rsidR="002D363C" w:rsidRPr="000D3DC5" w:rsidRDefault="002D363C" w:rsidP="00B55AAE">
            <w:pPr>
              <w:tabs>
                <w:tab w:val="right" w:pos="9180"/>
              </w:tabs>
              <w:ind w:right="-360"/>
            </w:pPr>
          </w:p>
        </w:tc>
        <w:tc>
          <w:tcPr>
            <w:tcW w:w="1440" w:type="dxa"/>
          </w:tcPr>
          <w:p w14:paraId="2C71330C" w14:textId="5A3FF0D4" w:rsidR="002D363C" w:rsidRPr="006E6EBD" w:rsidRDefault="002D363C" w:rsidP="00B55AAE">
            <w:pPr>
              <w:tabs>
                <w:tab w:val="decimal" w:pos="1062"/>
                <w:tab w:val="right" w:pos="9180"/>
              </w:tabs>
              <w:ind w:right="-46"/>
            </w:pPr>
            <w:r w:rsidRPr="006E6EBD">
              <w:tab/>
            </w:r>
            <w:r>
              <w:t>6,349,297</w:t>
            </w:r>
          </w:p>
        </w:tc>
        <w:tc>
          <w:tcPr>
            <w:tcW w:w="450" w:type="dxa"/>
          </w:tcPr>
          <w:p w14:paraId="0DC01F7D" w14:textId="77777777" w:rsidR="002D363C" w:rsidRPr="006E6EBD" w:rsidRDefault="002D363C" w:rsidP="00B55AAE">
            <w:pPr>
              <w:tabs>
                <w:tab w:val="right" w:pos="9180"/>
              </w:tabs>
              <w:ind w:right="-360"/>
            </w:pPr>
          </w:p>
        </w:tc>
        <w:tc>
          <w:tcPr>
            <w:tcW w:w="1440" w:type="dxa"/>
          </w:tcPr>
          <w:p w14:paraId="1E84C6DE" w14:textId="1E4749D9" w:rsidR="002D363C" w:rsidRPr="006E6EBD" w:rsidRDefault="002D363C" w:rsidP="00B55AAE">
            <w:pPr>
              <w:tabs>
                <w:tab w:val="decimal" w:pos="1062"/>
                <w:tab w:val="right" w:pos="9180"/>
              </w:tabs>
              <w:ind w:right="-18"/>
            </w:pPr>
            <w:r w:rsidRPr="006E6EBD">
              <w:tab/>
            </w:r>
            <w:r w:rsidR="00DA08C0">
              <w:t>13,818,315</w:t>
            </w:r>
          </w:p>
        </w:tc>
        <w:tc>
          <w:tcPr>
            <w:tcW w:w="270" w:type="dxa"/>
          </w:tcPr>
          <w:p w14:paraId="66CDFEEC" w14:textId="77777777" w:rsidR="002D363C" w:rsidRPr="006E6EBD" w:rsidRDefault="002D363C" w:rsidP="00B55AAE">
            <w:pPr>
              <w:tabs>
                <w:tab w:val="right" w:pos="9180"/>
              </w:tabs>
              <w:ind w:right="-360"/>
            </w:pPr>
          </w:p>
        </w:tc>
        <w:tc>
          <w:tcPr>
            <w:tcW w:w="1530" w:type="dxa"/>
          </w:tcPr>
          <w:p w14:paraId="07B9A07E" w14:textId="361A6C80" w:rsidR="002D363C" w:rsidRPr="006E6EBD" w:rsidRDefault="002D363C" w:rsidP="00B55AAE">
            <w:pPr>
              <w:tabs>
                <w:tab w:val="decimal" w:pos="1152"/>
                <w:tab w:val="right" w:pos="9180"/>
              </w:tabs>
              <w:ind w:right="-18"/>
            </w:pPr>
            <w:r w:rsidRPr="006E6EBD">
              <w:tab/>
            </w:r>
            <w:r>
              <w:t>6,005,032</w:t>
            </w:r>
          </w:p>
        </w:tc>
      </w:tr>
      <w:tr w:rsidR="002D363C" w:rsidRPr="008F36CA" w14:paraId="45DD0C61" w14:textId="77777777" w:rsidTr="00B55AAE">
        <w:tc>
          <w:tcPr>
            <w:tcW w:w="378" w:type="dxa"/>
          </w:tcPr>
          <w:p w14:paraId="24076D58" w14:textId="77777777" w:rsidR="002D363C" w:rsidRPr="008F36CA" w:rsidRDefault="002D363C" w:rsidP="00B55AAE">
            <w:pPr>
              <w:ind w:right="-360"/>
            </w:pPr>
          </w:p>
        </w:tc>
        <w:tc>
          <w:tcPr>
            <w:tcW w:w="450" w:type="dxa"/>
          </w:tcPr>
          <w:p w14:paraId="4BFA8609" w14:textId="77777777" w:rsidR="002D363C" w:rsidRPr="008F36CA" w:rsidRDefault="002D363C" w:rsidP="00B55AAE">
            <w:pPr>
              <w:ind w:right="-360"/>
            </w:pPr>
          </w:p>
        </w:tc>
        <w:tc>
          <w:tcPr>
            <w:tcW w:w="450" w:type="dxa"/>
          </w:tcPr>
          <w:p w14:paraId="64F4E288" w14:textId="77777777" w:rsidR="002D363C" w:rsidRPr="008F36CA" w:rsidRDefault="002D363C" w:rsidP="00B55AAE">
            <w:pPr>
              <w:ind w:right="-360"/>
            </w:pPr>
          </w:p>
        </w:tc>
        <w:tc>
          <w:tcPr>
            <w:tcW w:w="2160" w:type="dxa"/>
          </w:tcPr>
          <w:p w14:paraId="21A35E64" w14:textId="77777777" w:rsidR="002D363C" w:rsidRPr="008F36CA" w:rsidRDefault="002D363C" w:rsidP="00B55AAE">
            <w:pPr>
              <w:tabs>
                <w:tab w:val="right" w:pos="9180"/>
              </w:tabs>
              <w:ind w:right="-360"/>
            </w:pPr>
          </w:p>
        </w:tc>
        <w:tc>
          <w:tcPr>
            <w:tcW w:w="1530" w:type="dxa"/>
          </w:tcPr>
          <w:p w14:paraId="1368D3C9" w14:textId="77777777" w:rsidR="002D363C" w:rsidRPr="008F36CA" w:rsidRDefault="002D363C" w:rsidP="00B55AAE">
            <w:pPr>
              <w:tabs>
                <w:tab w:val="right" w:pos="9180"/>
              </w:tabs>
              <w:ind w:right="-18"/>
            </w:pPr>
          </w:p>
        </w:tc>
        <w:tc>
          <w:tcPr>
            <w:tcW w:w="270" w:type="dxa"/>
          </w:tcPr>
          <w:p w14:paraId="37917500" w14:textId="77777777" w:rsidR="002D363C" w:rsidRPr="008F36CA" w:rsidRDefault="002D363C" w:rsidP="00B55AAE">
            <w:pPr>
              <w:tabs>
                <w:tab w:val="right" w:pos="9180"/>
              </w:tabs>
              <w:ind w:right="-360"/>
            </w:pPr>
          </w:p>
        </w:tc>
        <w:tc>
          <w:tcPr>
            <w:tcW w:w="1440" w:type="dxa"/>
          </w:tcPr>
          <w:p w14:paraId="62425691" w14:textId="77777777" w:rsidR="002D363C" w:rsidRPr="00F31ABA" w:rsidRDefault="002D363C" w:rsidP="00B55AAE">
            <w:pPr>
              <w:tabs>
                <w:tab w:val="right" w:pos="9180"/>
              </w:tabs>
              <w:ind w:right="-46"/>
            </w:pPr>
          </w:p>
        </w:tc>
        <w:tc>
          <w:tcPr>
            <w:tcW w:w="450" w:type="dxa"/>
          </w:tcPr>
          <w:p w14:paraId="25FFE327" w14:textId="77777777" w:rsidR="002D363C" w:rsidRPr="00F31ABA" w:rsidRDefault="002D363C" w:rsidP="00B55AAE">
            <w:pPr>
              <w:tabs>
                <w:tab w:val="right" w:pos="9180"/>
              </w:tabs>
              <w:ind w:right="-360"/>
            </w:pPr>
          </w:p>
        </w:tc>
        <w:tc>
          <w:tcPr>
            <w:tcW w:w="1440" w:type="dxa"/>
          </w:tcPr>
          <w:p w14:paraId="64BA06EA" w14:textId="77777777" w:rsidR="002D363C" w:rsidRPr="00F31ABA" w:rsidRDefault="002D363C" w:rsidP="00B55AAE">
            <w:pPr>
              <w:tabs>
                <w:tab w:val="right" w:pos="9180"/>
              </w:tabs>
              <w:ind w:right="-18"/>
            </w:pPr>
          </w:p>
        </w:tc>
        <w:tc>
          <w:tcPr>
            <w:tcW w:w="270" w:type="dxa"/>
          </w:tcPr>
          <w:p w14:paraId="4FA81E3E" w14:textId="77777777" w:rsidR="002D363C" w:rsidRPr="00F31ABA" w:rsidRDefault="002D363C" w:rsidP="00B55AAE">
            <w:pPr>
              <w:tabs>
                <w:tab w:val="right" w:pos="9180"/>
              </w:tabs>
              <w:ind w:right="-360"/>
            </w:pPr>
          </w:p>
        </w:tc>
        <w:tc>
          <w:tcPr>
            <w:tcW w:w="1530" w:type="dxa"/>
          </w:tcPr>
          <w:p w14:paraId="7F9D0530" w14:textId="77777777" w:rsidR="002D363C" w:rsidRPr="00F31ABA" w:rsidRDefault="002D363C" w:rsidP="00B55AAE">
            <w:pPr>
              <w:tabs>
                <w:tab w:val="right" w:pos="9180"/>
              </w:tabs>
              <w:ind w:right="-18"/>
            </w:pPr>
          </w:p>
        </w:tc>
      </w:tr>
      <w:tr w:rsidR="002D363C" w:rsidRPr="000D3DC5" w14:paraId="215D6CB3" w14:textId="77777777" w:rsidTr="00B55AAE">
        <w:tc>
          <w:tcPr>
            <w:tcW w:w="378" w:type="dxa"/>
          </w:tcPr>
          <w:p w14:paraId="4C30CE83" w14:textId="77777777" w:rsidR="002D363C" w:rsidRPr="000D3DC5" w:rsidRDefault="002D363C" w:rsidP="00B55AAE">
            <w:pPr>
              <w:ind w:right="-360"/>
            </w:pPr>
          </w:p>
        </w:tc>
        <w:tc>
          <w:tcPr>
            <w:tcW w:w="450" w:type="dxa"/>
          </w:tcPr>
          <w:p w14:paraId="076F594D" w14:textId="77777777" w:rsidR="002D363C" w:rsidRPr="000D3DC5" w:rsidRDefault="002D363C" w:rsidP="00B55AAE">
            <w:pPr>
              <w:ind w:right="-360"/>
            </w:pPr>
          </w:p>
        </w:tc>
        <w:tc>
          <w:tcPr>
            <w:tcW w:w="450" w:type="dxa"/>
          </w:tcPr>
          <w:p w14:paraId="55C18D0D" w14:textId="77777777" w:rsidR="002D363C" w:rsidRPr="000D3DC5" w:rsidRDefault="002D363C" w:rsidP="00B55AAE">
            <w:pPr>
              <w:ind w:right="-360"/>
            </w:pPr>
          </w:p>
        </w:tc>
        <w:tc>
          <w:tcPr>
            <w:tcW w:w="2160" w:type="dxa"/>
          </w:tcPr>
          <w:p w14:paraId="7D4D20C2" w14:textId="77777777" w:rsidR="002D363C" w:rsidRPr="000D3DC5" w:rsidRDefault="002D363C" w:rsidP="00B55AAE">
            <w:pPr>
              <w:tabs>
                <w:tab w:val="right" w:pos="9180"/>
              </w:tabs>
              <w:ind w:right="-360"/>
            </w:pPr>
          </w:p>
        </w:tc>
        <w:tc>
          <w:tcPr>
            <w:tcW w:w="1530" w:type="dxa"/>
          </w:tcPr>
          <w:p w14:paraId="12EEA80B" w14:textId="77777777" w:rsidR="002D363C" w:rsidRPr="000D3DC5" w:rsidRDefault="002D363C" w:rsidP="00B55AAE">
            <w:pPr>
              <w:tabs>
                <w:tab w:val="right" w:pos="9180"/>
              </w:tabs>
              <w:ind w:right="-18"/>
            </w:pPr>
          </w:p>
        </w:tc>
        <w:tc>
          <w:tcPr>
            <w:tcW w:w="270" w:type="dxa"/>
          </w:tcPr>
          <w:p w14:paraId="68B16152" w14:textId="77777777" w:rsidR="002D363C" w:rsidRPr="000D3DC5" w:rsidRDefault="002D363C" w:rsidP="00B55AAE">
            <w:pPr>
              <w:tabs>
                <w:tab w:val="right" w:pos="9180"/>
              </w:tabs>
              <w:ind w:right="-360"/>
            </w:pPr>
          </w:p>
        </w:tc>
        <w:tc>
          <w:tcPr>
            <w:tcW w:w="1440" w:type="dxa"/>
          </w:tcPr>
          <w:p w14:paraId="77EF70E2" w14:textId="77777777" w:rsidR="002D363C" w:rsidRPr="000D3DC5" w:rsidRDefault="002D363C" w:rsidP="00B55AAE">
            <w:pPr>
              <w:tabs>
                <w:tab w:val="right" w:pos="9180"/>
              </w:tabs>
              <w:ind w:right="-46"/>
            </w:pPr>
          </w:p>
        </w:tc>
        <w:tc>
          <w:tcPr>
            <w:tcW w:w="450" w:type="dxa"/>
          </w:tcPr>
          <w:p w14:paraId="37CA9619" w14:textId="77777777" w:rsidR="002D363C" w:rsidRPr="000D3DC5" w:rsidRDefault="002D363C" w:rsidP="00B55AAE">
            <w:pPr>
              <w:tabs>
                <w:tab w:val="right" w:pos="9180"/>
              </w:tabs>
              <w:ind w:right="-360"/>
            </w:pPr>
          </w:p>
        </w:tc>
        <w:tc>
          <w:tcPr>
            <w:tcW w:w="1440" w:type="dxa"/>
          </w:tcPr>
          <w:p w14:paraId="71ED0AA1" w14:textId="77777777" w:rsidR="002D363C" w:rsidRPr="000D3DC5" w:rsidRDefault="002D363C" w:rsidP="00B55AAE">
            <w:pPr>
              <w:tabs>
                <w:tab w:val="right" w:pos="9180"/>
              </w:tabs>
              <w:ind w:right="-18"/>
            </w:pPr>
          </w:p>
        </w:tc>
        <w:tc>
          <w:tcPr>
            <w:tcW w:w="270" w:type="dxa"/>
          </w:tcPr>
          <w:p w14:paraId="2DBDC29E" w14:textId="77777777" w:rsidR="002D363C" w:rsidRPr="000D3DC5" w:rsidRDefault="002D363C" w:rsidP="00B55AAE">
            <w:pPr>
              <w:tabs>
                <w:tab w:val="right" w:pos="9180"/>
              </w:tabs>
              <w:ind w:right="-360"/>
            </w:pPr>
          </w:p>
        </w:tc>
        <w:tc>
          <w:tcPr>
            <w:tcW w:w="1530" w:type="dxa"/>
          </w:tcPr>
          <w:p w14:paraId="63DFF240" w14:textId="77777777" w:rsidR="002D363C" w:rsidRPr="000D3DC5" w:rsidRDefault="002D363C" w:rsidP="00B55AAE">
            <w:pPr>
              <w:tabs>
                <w:tab w:val="right" w:pos="9180"/>
              </w:tabs>
              <w:ind w:right="-18"/>
            </w:pPr>
          </w:p>
        </w:tc>
      </w:tr>
    </w:tbl>
    <w:p w14:paraId="181FD4A3" w14:textId="77777777" w:rsidR="002D363C" w:rsidRPr="00BA4187" w:rsidRDefault="002D363C" w:rsidP="002D363C">
      <w:pPr>
        <w:tabs>
          <w:tab w:val="left" w:pos="1080"/>
          <w:tab w:val="left" w:pos="1260"/>
          <w:tab w:val="left" w:pos="2340"/>
          <w:tab w:val="right" w:pos="9180"/>
        </w:tabs>
        <w:ind w:right="-360"/>
        <w:jc w:val="center"/>
      </w:pPr>
    </w:p>
    <w:p w14:paraId="182D413E" w14:textId="77777777" w:rsidR="002D363C" w:rsidRDefault="002D363C" w:rsidP="002D363C">
      <w:pPr>
        <w:tabs>
          <w:tab w:val="left" w:pos="1080"/>
          <w:tab w:val="left" w:pos="1260"/>
          <w:tab w:val="left" w:pos="2340"/>
          <w:tab w:val="right" w:pos="9180"/>
        </w:tabs>
        <w:ind w:right="-360"/>
      </w:pPr>
    </w:p>
    <w:p w14:paraId="1B2C9AB4" w14:textId="77777777" w:rsidR="002D363C" w:rsidRDefault="002D363C" w:rsidP="002D363C">
      <w:pPr>
        <w:tabs>
          <w:tab w:val="left" w:pos="1080"/>
          <w:tab w:val="left" w:pos="1260"/>
          <w:tab w:val="left" w:pos="2340"/>
          <w:tab w:val="right" w:pos="9180"/>
        </w:tabs>
        <w:ind w:right="-360"/>
      </w:pPr>
    </w:p>
    <w:p w14:paraId="28A1E3F1" w14:textId="77777777" w:rsidR="0034086E" w:rsidRDefault="0034086E" w:rsidP="0034086E">
      <w:pPr>
        <w:tabs>
          <w:tab w:val="left" w:pos="1080"/>
          <w:tab w:val="left" w:pos="1260"/>
          <w:tab w:val="left" w:pos="2340"/>
          <w:tab w:val="right" w:pos="9180"/>
        </w:tabs>
        <w:ind w:right="-360"/>
      </w:pPr>
    </w:p>
    <w:p w14:paraId="65B25523" w14:textId="77777777" w:rsidR="0034086E" w:rsidRDefault="0034086E" w:rsidP="0034086E">
      <w:pPr>
        <w:tabs>
          <w:tab w:val="left" w:pos="1080"/>
          <w:tab w:val="left" w:pos="1260"/>
          <w:tab w:val="left" w:pos="2340"/>
          <w:tab w:val="right" w:pos="9180"/>
        </w:tabs>
        <w:ind w:right="-360"/>
      </w:pPr>
    </w:p>
    <w:p w14:paraId="05790F96" w14:textId="77777777" w:rsidR="0034086E" w:rsidRPr="00BA4187" w:rsidRDefault="0034086E" w:rsidP="0034086E">
      <w:pPr>
        <w:tabs>
          <w:tab w:val="left" w:pos="1080"/>
          <w:tab w:val="left" w:pos="1260"/>
          <w:tab w:val="left" w:pos="2340"/>
          <w:tab w:val="right" w:pos="9180"/>
        </w:tabs>
        <w:ind w:right="-360"/>
        <w:jc w:val="center"/>
      </w:pPr>
      <w:r w:rsidRPr="00BA4187">
        <w:t>See accompanying notes to condensed consolidated financial statements.</w:t>
      </w:r>
    </w:p>
    <w:p w14:paraId="1057A83D" w14:textId="77777777" w:rsidR="0034086E" w:rsidRDefault="0034086E" w:rsidP="0034086E">
      <w:pPr>
        <w:tabs>
          <w:tab w:val="left" w:pos="1080"/>
          <w:tab w:val="left" w:pos="1260"/>
          <w:tab w:val="left" w:pos="2340"/>
          <w:tab w:val="right" w:pos="9180"/>
        </w:tabs>
        <w:ind w:right="-360"/>
      </w:pPr>
    </w:p>
    <w:p w14:paraId="61AEFC76" w14:textId="6E8686F3" w:rsidR="00374FE3" w:rsidRDefault="00374FE3"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bookmarkStart w:id="8" w:name="_Hlk115192033"/>
      <w:r w:rsidRPr="00487CAB">
        <w:rPr>
          <w:b/>
        </w:rPr>
        <w:lastRenderedPageBreak/>
        <w:t>GEOVAX LABS, INC.</w:t>
      </w:r>
    </w:p>
    <w:p w14:paraId="5AB7F194" w14:textId="4B1D042D" w:rsidR="00487CAB" w:rsidRPr="00487CAB" w:rsidRDefault="00487CAB" w:rsidP="00487CAB">
      <w:pPr>
        <w:jc w:val="center"/>
        <w:rPr>
          <w:b/>
        </w:rPr>
      </w:pPr>
      <w:r w:rsidRPr="00487CAB">
        <w:rPr>
          <w:b/>
        </w:rPr>
        <w:t>CONDENSED CONSOLIDATED STATEMENTS OF CHANGES IN STOCKHOLDERS’ EQUITY</w:t>
      </w:r>
    </w:p>
    <w:p w14:paraId="5DBBABFB" w14:textId="77777777" w:rsidR="00487CAB" w:rsidRPr="00487CAB" w:rsidRDefault="00487CAB" w:rsidP="00487CAB">
      <w:pPr>
        <w:jc w:val="center"/>
        <w:rPr>
          <w:b/>
        </w:rPr>
      </w:pPr>
      <w:r w:rsidRPr="00487CAB">
        <w:rPr>
          <w:b/>
        </w:rPr>
        <w:t>(Unaudited)</w:t>
      </w:r>
    </w:p>
    <w:bookmarkEnd w:id="8"/>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9"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B158D9" w:rsidRPr="00487CAB" w14:paraId="4CB7D306" w14:textId="77777777" w:rsidTr="00F038AE">
        <w:tc>
          <w:tcPr>
            <w:tcW w:w="4410" w:type="dxa"/>
          </w:tcPr>
          <w:p w14:paraId="35BA21D3" w14:textId="77777777" w:rsidR="00B158D9" w:rsidRPr="00487CAB" w:rsidRDefault="00B158D9" w:rsidP="00F038AE">
            <w:pPr>
              <w:tabs>
                <w:tab w:val="left" w:pos="144"/>
                <w:tab w:val="left" w:pos="324"/>
                <w:tab w:val="right" w:pos="9180"/>
              </w:tabs>
              <w:rPr>
                <w:snapToGrid w:val="0"/>
                <w:color w:val="000000"/>
                <w:sz w:val="19"/>
                <w:szCs w:val="19"/>
              </w:rPr>
            </w:pPr>
            <w:bookmarkStart w:id="10" w:name="_Hlk98334236"/>
            <w:bookmarkEnd w:id="9"/>
          </w:p>
        </w:tc>
        <w:tc>
          <w:tcPr>
            <w:tcW w:w="9180" w:type="dxa"/>
            <w:gridSpan w:val="7"/>
            <w:tcBorders>
              <w:bottom w:val="single" w:sz="4" w:space="0" w:color="auto"/>
            </w:tcBorders>
          </w:tcPr>
          <w:p w14:paraId="40B07651" w14:textId="3B924283" w:rsidR="00B158D9" w:rsidRPr="00487CAB" w:rsidRDefault="00B158D9" w:rsidP="00F038AE">
            <w:pPr>
              <w:tabs>
                <w:tab w:val="right" w:pos="9180"/>
              </w:tabs>
              <w:jc w:val="center"/>
              <w:rPr>
                <w:snapToGrid w:val="0"/>
                <w:color w:val="000000"/>
                <w:sz w:val="19"/>
                <w:szCs w:val="19"/>
              </w:rPr>
            </w:pPr>
            <w:r>
              <w:rPr>
                <w:snapToGrid w:val="0"/>
                <w:color w:val="000000"/>
                <w:sz w:val="19"/>
                <w:szCs w:val="19"/>
              </w:rPr>
              <w:t>Three</w:t>
            </w:r>
            <w:r w:rsidR="001619B6">
              <w:rPr>
                <w:snapToGrid w:val="0"/>
                <w:color w:val="000000"/>
                <w:sz w:val="19"/>
                <w:szCs w:val="19"/>
              </w:rPr>
              <w:t>-</w:t>
            </w:r>
            <w:r>
              <w:rPr>
                <w:snapToGrid w:val="0"/>
                <w:color w:val="000000"/>
                <w:sz w:val="19"/>
                <w:szCs w:val="19"/>
              </w:rPr>
              <w:t>Month</w:t>
            </w:r>
            <w:r w:rsidR="001619B6">
              <w:rPr>
                <w:snapToGrid w:val="0"/>
                <w:color w:val="000000"/>
                <w:sz w:val="19"/>
                <w:szCs w:val="19"/>
              </w:rPr>
              <w:t xml:space="preserve"> and </w:t>
            </w:r>
            <w:r w:rsidR="00340889">
              <w:rPr>
                <w:snapToGrid w:val="0"/>
                <w:color w:val="000000"/>
                <w:sz w:val="19"/>
                <w:szCs w:val="19"/>
              </w:rPr>
              <w:t>Nine</w:t>
            </w:r>
            <w:r w:rsidR="001619B6">
              <w:rPr>
                <w:snapToGrid w:val="0"/>
                <w:color w:val="000000"/>
                <w:sz w:val="19"/>
                <w:szCs w:val="19"/>
              </w:rPr>
              <w:t xml:space="preserve">-Month Periods </w:t>
            </w:r>
            <w:r>
              <w:rPr>
                <w:snapToGrid w:val="0"/>
                <w:color w:val="000000"/>
                <w:sz w:val="19"/>
                <w:szCs w:val="19"/>
              </w:rPr>
              <w:t xml:space="preserve">Ended </w:t>
            </w:r>
            <w:r w:rsidR="00340889">
              <w:rPr>
                <w:snapToGrid w:val="0"/>
                <w:color w:val="000000"/>
                <w:sz w:val="19"/>
                <w:szCs w:val="19"/>
              </w:rPr>
              <w:t>September</w:t>
            </w:r>
            <w:r>
              <w:rPr>
                <w:snapToGrid w:val="0"/>
                <w:color w:val="000000"/>
                <w:sz w:val="19"/>
                <w:szCs w:val="19"/>
              </w:rPr>
              <w:t xml:space="preserve"> 3</w:t>
            </w:r>
            <w:r w:rsidR="008258F1">
              <w:rPr>
                <w:snapToGrid w:val="0"/>
                <w:color w:val="000000"/>
                <w:sz w:val="19"/>
                <w:szCs w:val="19"/>
              </w:rPr>
              <w:t>0</w:t>
            </w:r>
            <w:r>
              <w:rPr>
                <w:snapToGrid w:val="0"/>
                <w:color w:val="000000"/>
                <w:sz w:val="19"/>
                <w:szCs w:val="19"/>
              </w:rPr>
              <w:t>, 202</w:t>
            </w:r>
            <w:r w:rsidR="001C0E17">
              <w:rPr>
                <w:snapToGrid w:val="0"/>
                <w:color w:val="000000"/>
                <w:sz w:val="19"/>
                <w:szCs w:val="19"/>
              </w:rPr>
              <w:t>2</w:t>
            </w:r>
          </w:p>
        </w:tc>
      </w:tr>
      <w:tr w:rsidR="00B158D9" w:rsidRPr="00487CAB" w14:paraId="50B29CA1" w14:textId="77777777" w:rsidTr="00F038AE">
        <w:tc>
          <w:tcPr>
            <w:tcW w:w="4410" w:type="dxa"/>
          </w:tcPr>
          <w:p w14:paraId="43275F9A"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Pr>
          <w:p w14:paraId="588B694A" w14:textId="77777777" w:rsidR="00B158D9" w:rsidRPr="00487CAB" w:rsidRDefault="00B158D9" w:rsidP="00F038AE">
            <w:pPr>
              <w:tabs>
                <w:tab w:val="left" w:pos="2340"/>
                <w:tab w:val="right" w:pos="9180"/>
              </w:tabs>
              <w:jc w:val="center"/>
              <w:rPr>
                <w:snapToGrid w:val="0"/>
                <w:color w:val="000000"/>
                <w:sz w:val="19"/>
                <w:szCs w:val="19"/>
              </w:rPr>
            </w:pPr>
          </w:p>
        </w:tc>
        <w:tc>
          <w:tcPr>
            <w:tcW w:w="1080" w:type="dxa"/>
          </w:tcPr>
          <w:p w14:paraId="77532D9F" w14:textId="77777777" w:rsidR="00B158D9" w:rsidRPr="00487CAB" w:rsidRDefault="00B158D9" w:rsidP="00F038AE">
            <w:pPr>
              <w:tabs>
                <w:tab w:val="decimal" w:pos="1148"/>
                <w:tab w:val="right" w:pos="9180"/>
              </w:tabs>
              <w:jc w:val="center"/>
              <w:rPr>
                <w:snapToGrid w:val="0"/>
                <w:color w:val="000000"/>
                <w:sz w:val="19"/>
                <w:szCs w:val="19"/>
              </w:rPr>
            </w:pPr>
          </w:p>
        </w:tc>
        <w:tc>
          <w:tcPr>
            <w:tcW w:w="1170" w:type="dxa"/>
          </w:tcPr>
          <w:p w14:paraId="4D0A22A0" w14:textId="77777777" w:rsidR="00B158D9" w:rsidRPr="00487CAB" w:rsidRDefault="00B158D9" w:rsidP="00F038AE">
            <w:pPr>
              <w:tabs>
                <w:tab w:val="decimal" w:pos="1148"/>
                <w:tab w:val="right" w:pos="9180"/>
              </w:tabs>
              <w:jc w:val="center"/>
              <w:rPr>
                <w:snapToGrid w:val="0"/>
                <w:color w:val="000000"/>
                <w:sz w:val="19"/>
                <w:szCs w:val="19"/>
              </w:rPr>
            </w:pPr>
          </w:p>
        </w:tc>
        <w:tc>
          <w:tcPr>
            <w:tcW w:w="1440" w:type="dxa"/>
          </w:tcPr>
          <w:p w14:paraId="18DF2354" w14:textId="77777777" w:rsidR="00B158D9" w:rsidRPr="00487CAB" w:rsidRDefault="00B158D9" w:rsidP="00F038AE">
            <w:pPr>
              <w:tabs>
                <w:tab w:val="decimal" w:pos="1148"/>
                <w:tab w:val="right" w:pos="9180"/>
              </w:tabs>
              <w:jc w:val="center"/>
              <w:rPr>
                <w:snapToGrid w:val="0"/>
                <w:color w:val="000000"/>
                <w:sz w:val="19"/>
                <w:szCs w:val="19"/>
              </w:rPr>
            </w:pPr>
          </w:p>
        </w:tc>
        <w:tc>
          <w:tcPr>
            <w:tcW w:w="1350" w:type="dxa"/>
          </w:tcPr>
          <w:p w14:paraId="435B00C4" w14:textId="77777777" w:rsidR="00B158D9" w:rsidRPr="00487CAB" w:rsidRDefault="00B158D9" w:rsidP="00F038AE">
            <w:pPr>
              <w:tabs>
                <w:tab w:val="right" w:pos="9180"/>
              </w:tabs>
              <w:jc w:val="center"/>
              <w:rPr>
                <w:snapToGrid w:val="0"/>
                <w:color w:val="000000"/>
                <w:sz w:val="19"/>
                <w:szCs w:val="19"/>
              </w:rPr>
            </w:pPr>
          </w:p>
        </w:tc>
        <w:tc>
          <w:tcPr>
            <w:tcW w:w="1800" w:type="dxa"/>
          </w:tcPr>
          <w:p w14:paraId="15394256" w14:textId="77777777" w:rsidR="00B158D9" w:rsidRPr="00487CAB" w:rsidRDefault="00B158D9" w:rsidP="00F038AE">
            <w:pPr>
              <w:tabs>
                <w:tab w:val="right" w:pos="9180"/>
              </w:tabs>
              <w:jc w:val="center"/>
              <w:rPr>
                <w:snapToGrid w:val="0"/>
                <w:color w:val="000000"/>
                <w:sz w:val="19"/>
                <w:szCs w:val="19"/>
              </w:rPr>
            </w:pPr>
            <w:r>
              <w:rPr>
                <w:snapToGrid w:val="0"/>
                <w:color w:val="000000"/>
                <w:sz w:val="19"/>
                <w:szCs w:val="19"/>
              </w:rPr>
              <w:t>Total</w:t>
            </w:r>
          </w:p>
        </w:tc>
      </w:tr>
      <w:tr w:rsidR="00B158D9" w:rsidRPr="00487CAB" w14:paraId="05FB3B47" w14:textId="77777777" w:rsidTr="00F038AE">
        <w:tc>
          <w:tcPr>
            <w:tcW w:w="4410" w:type="dxa"/>
          </w:tcPr>
          <w:p w14:paraId="6F2FBFF3" w14:textId="77777777" w:rsidR="00B158D9" w:rsidRPr="00487CAB" w:rsidRDefault="00B158D9" w:rsidP="00F038AE">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15E3C9F6" w14:textId="54C91670"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5EC79F6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B3C4097"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41869D79"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645402C5"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B158D9" w:rsidRPr="00487CAB" w14:paraId="4E5C8358" w14:textId="77777777" w:rsidTr="00F038AE">
        <w:tc>
          <w:tcPr>
            <w:tcW w:w="4410" w:type="dxa"/>
          </w:tcPr>
          <w:p w14:paraId="121DC200"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AA83E1D"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3639648" w14:textId="77777777"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5E892763"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4EB8FBFF"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9A84938" w14:textId="77777777" w:rsidR="00B158D9" w:rsidRPr="00487CAB" w:rsidRDefault="00B158D9" w:rsidP="00F038AE">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80DAC2E" w14:textId="77777777" w:rsidR="00B158D9" w:rsidRPr="00487CAB" w:rsidRDefault="00B158D9" w:rsidP="00F038AE">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7F933B72" w14:textId="38362D5E" w:rsidR="00B158D9" w:rsidRPr="00487CAB" w:rsidRDefault="00B158D9" w:rsidP="00F038AE">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B158D9" w:rsidRPr="00487CAB" w14:paraId="7FB04444" w14:textId="77777777" w:rsidTr="00F038AE">
        <w:tc>
          <w:tcPr>
            <w:tcW w:w="4410" w:type="dxa"/>
          </w:tcPr>
          <w:p w14:paraId="4E27956B" w14:textId="6FE54E3D"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sidR="00636549">
              <w:rPr>
                <w:snapToGrid w:val="0"/>
                <w:color w:val="000000"/>
                <w:sz w:val="19"/>
                <w:szCs w:val="19"/>
              </w:rPr>
              <w:t>2</w:t>
            </w:r>
            <w:r w:rsidR="00D174BC">
              <w:rPr>
                <w:snapToGrid w:val="0"/>
                <w:color w:val="000000"/>
                <w:sz w:val="19"/>
                <w:szCs w:val="19"/>
              </w:rPr>
              <w:t>1</w:t>
            </w:r>
          </w:p>
        </w:tc>
        <w:tc>
          <w:tcPr>
            <w:tcW w:w="1170" w:type="dxa"/>
          </w:tcPr>
          <w:p w14:paraId="5F9C0A87" w14:textId="13539ADE"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D174BC">
              <w:rPr>
                <w:snapToGrid w:val="0"/>
                <w:color w:val="000000"/>
                <w:sz w:val="19"/>
                <w:szCs w:val="19"/>
              </w:rPr>
              <w:t>-</w:t>
            </w:r>
          </w:p>
        </w:tc>
        <w:tc>
          <w:tcPr>
            <w:tcW w:w="1170" w:type="dxa"/>
          </w:tcPr>
          <w:p w14:paraId="004CC306" w14:textId="3034F4D9"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w:t>
            </w:r>
          </w:p>
        </w:tc>
        <w:tc>
          <w:tcPr>
            <w:tcW w:w="1080" w:type="dxa"/>
          </w:tcPr>
          <w:p w14:paraId="1BE278D3" w14:textId="128A265F"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D174BC">
              <w:rPr>
                <w:snapToGrid w:val="0"/>
                <w:color w:val="000000"/>
                <w:sz w:val="19"/>
                <w:szCs w:val="19"/>
              </w:rPr>
              <w:t>6,381,541</w:t>
            </w:r>
          </w:p>
        </w:tc>
        <w:tc>
          <w:tcPr>
            <w:tcW w:w="1170" w:type="dxa"/>
          </w:tcPr>
          <w:p w14:paraId="5A42009B" w14:textId="5E28E7B8"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6,382</w:t>
            </w:r>
          </w:p>
        </w:tc>
        <w:tc>
          <w:tcPr>
            <w:tcW w:w="1440" w:type="dxa"/>
          </w:tcPr>
          <w:p w14:paraId="311E2D40" w14:textId="2EF1721A"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68,731,220</w:t>
            </w:r>
          </w:p>
        </w:tc>
        <w:tc>
          <w:tcPr>
            <w:tcW w:w="1350" w:type="dxa"/>
          </w:tcPr>
          <w:p w14:paraId="6DBABC26" w14:textId="33725AFC"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t>$(</w:t>
            </w:r>
            <w:r w:rsidR="00D174BC">
              <w:rPr>
                <w:snapToGrid w:val="0"/>
                <w:color w:val="000000"/>
                <w:sz w:val="19"/>
                <w:szCs w:val="19"/>
              </w:rPr>
              <w:t>64,375,898</w:t>
            </w:r>
            <w:r w:rsidRPr="00487CAB">
              <w:rPr>
                <w:snapToGrid w:val="0"/>
                <w:color w:val="000000"/>
                <w:sz w:val="19"/>
                <w:szCs w:val="19"/>
              </w:rPr>
              <w:t>)</w:t>
            </w:r>
          </w:p>
        </w:tc>
        <w:tc>
          <w:tcPr>
            <w:tcW w:w="1800" w:type="dxa"/>
          </w:tcPr>
          <w:p w14:paraId="2FD0FE15" w14:textId="6EF2186E"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D174BC">
              <w:rPr>
                <w:snapToGrid w:val="0"/>
                <w:color w:val="000000"/>
                <w:sz w:val="19"/>
                <w:szCs w:val="19"/>
              </w:rPr>
              <w:t>4,361,704</w:t>
            </w:r>
          </w:p>
        </w:tc>
      </w:tr>
      <w:tr w:rsidR="00B158D9" w:rsidRPr="00487CAB" w14:paraId="49DF38A9" w14:textId="77777777" w:rsidTr="00F038AE">
        <w:tc>
          <w:tcPr>
            <w:tcW w:w="4410" w:type="dxa"/>
          </w:tcPr>
          <w:p w14:paraId="2837E056" w14:textId="4B30B457"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sidR="00636549">
              <w:rPr>
                <w:snapToGrid w:val="0"/>
                <w:color w:val="000000"/>
                <w:sz w:val="19"/>
                <w:szCs w:val="19"/>
              </w:rPr>
              <w:t>common stock</w:t>
            </w:r>
            <w:r w:rsidR="00D174BC">
              <w:rPr>
                <w:snapToGrid w:val="0"/>
                <w:color w:val="000000"/>
                <w:sz w:val="19"/>
                <w:szCs w:val="19"/>
              </w:rPr>
              <w:t xml:space="preserve"> and warrants</w:t>
            </w:r>
            <w:r w:rsidR="00636549">
              <w:rPr>
                <w:snapToGrid w:val="0"/>
                <w:color w:val="000000"/>
                <w:sz w:val="19"/>
                <w:szCs w:val="19"/>
              </w:rPr>
              <w:t xml:space="preserve"> for</w:t>
            </w:r>
            <w:r>
              <w:rPr>
                <w:snapToGrid w:val="0"/>
                <w:color w:val="000000"/>
                <w:sz w:val="19"/>
                <w:szCs w:val="19"/>
              </w:rPr>
              <w:t xml:space="preserve"> cash</w:t>
            </w:r>
          </w:p>
        </w:tc>
        <w:tc>
          <w:tcPr>
            <w:tcW w:w="1170" w:type="dxa"/>
          </w:tcPr>
          <w:p w14:paraId="02A611FF" w14:textId="19E63DA5"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170" w:type="dxa"/>
          </w:tcPr>
          <w:p w14:paraId="380D1371" w14:textId="4B3CF768"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636549">
              <w:rPr>
                <w:snapToGrid w:val="0"/>
                <w:color w:val="000000"/>
                <w:sz w:val="19"/>
                <w:szCs w:val="19"/>
              </w:rPr>
              <w:t>-</w:t>
            </w:r>
          </w:p>
        </w:tc>
        <w:tc>
          <w:tcPr>
            <w:tcW w:w="1080" w:type="dxa"/>
          </w:tcPr>
          <w:p w14:paraId="68AFAB8B" w14:textId="12B087DD"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707,484</w:t>
            </w:r>
          </w:p>
        </w:tc>
        <w:tc>
          <w:tcPr>
            <w:tcW w:w="1170" w:type="dxa"/>
          </w:tcPr>
          <w:p w14:paraId="3654EE01" w14:textId="51B87649"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707</w:t>
            </w:r>
          </w:p>
        </w:tc>
        <w:tc>
          <w:tcPr>
            <w:tcW w:w="1440" w:type="dxa"/>
          </w:tcPr>
          <w:p w14:paraId="733B7586" w14:textId="293F51EA"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9,228,541</w:t>
            </w:r>
          </w:p>
        </w:tc>
        <w:tc>
          <w:tcPr>
            <w:tcW w:w="1350" w:type="dxa"/>
          </w:tcPr>
          <w:p w14:paraId="4B189BBA" w14:textId="77777777"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0A1B06C4" w14:textId="1B474B71"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9,229,248</w:t>
            </w:r>
          </w:p>
        </w:tc>
      </w:tr>
      <w:tr w:rsidR="00A640A8" w:rsidRPr="00487CAB" w14:paraId="29CE7FF1" w14:textId="77777777" w:rsidTr="00F038AE">
        <w:tc>
          <w:tcPr>
            <w:tcW w:w="4410" w:type="dxa"/>
          </w:tcPr>
          <w:p w14:paraId="579FF70F" w14:textId="62E885C5" w:rsidR="00A640A8" w:rsidRPr="00487CAB" w:rsidRDefault="00A640A8" w:rsidP="00F038AE">
            <w:pPr>
              <w:tabs>
                <w:tab w:val="left" w:pos="144"/>
                <w:tab w:val="left" w:pos="324"/>
                <w:tab w:val="right" w:pos="9180"/>
              </w:tabs>
              <w:rPr>
                <w:snapToGrid w:val="0"/>
                <w:color w:val="000000"/>
                <w:sz w:val="19"/>
                <w:szCs w:val="19"/>
              </w:rPr>
            </w:pPr>
            <w:bookmarkStart w:id="11" w:name="_Hlk107303309"/>
            <w:r>
              <w:rPr>
                <w:snapToGrid w:val="0"/>
                <w:color w:val="000000"/>
                <w:sz w:val="19"/>
                <w:szCs w:val="19"/>
              </w:rPr>
              <w:tab/>
              <w:t>Issuance of common stock upon warrant exercise</w:t>
            </w:r>
          </w:p>
        </w:tc>
        <w:tc>
          <w:tcPr>
            <w:tcW w:w="1170" w:type="dxa"/>
          </w:tcPr>
          <w:p w14:paraId="2ED5D7BC" w14:textId="55BD6504" w:rsidR="00A640A8" w:rsidRPr="00487CAB" w:rsidRDefault="00A640A8"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CC2269B" w14:textId="6EDC1CB5" w:rsidR="00A640A8" w:rsidRPr="00487CAB" w:rsidRDefault="00A640A8"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F4FE3F3" w14:textId="39969EC7" w:rsidR="00A640A8" w:rsidRPr="00487CAB" w:rsidRDefault="00A640A8"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033723">
              <w:rPr>
                <w:snapToGrid w:val="0"/>
                <w:color w:val="000000"/>
                <w:sz w:val="19"/>
                <w:szCs w:val="19"/>
              </w:rPr>
              <w:t>2,360,000</w:t>
            </w:r>
          </w:p>
        </w:tc>
        <w:tc>
          <w:tcPr>
            <w:tcW w:w="1170" w:type="dxa"/>
          </w:tcPr>
          <w:p w14:paraId="56E89A5F" w14:textId="5F30E897" w:rsidR="00A640A8" w:rsidRPr="00487CAB" w:rsidRDefault="00033723"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34771816" w14:textId="4ECBE14A" w:rsidR="00A640A8" w:rsidRPr="00487CAB" w:rsidRDefault="00033723"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57E3DB35" w14:textId="4382FA2E" w:rsidR="00A640A8" w:rsidRPr="00487CAB" w:rsidRDefault="00033723" w:rsidP="00F038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B5D6A93" w14:textId="25BB144D" w:rsidR="00A640A8" w:rsidRPr="00487CAB" w:rsidRDefault="00033723" w:rsidP="00F038AE">
            <w:pPr>
              <w:tabs>
                <w:tab w:val="decimal" w:pos="1418"/>
                <w:tab w:val="right" w:pos="9180"/>
              </w:tabs>
              <w:rPr>
                <w:snapToGrid w:val="0"/>
                <w:color w:val="000000"/>
                <w:sz w:val="19"/>
                <w:szCs w:val="19"/>
              </w:rPr>
            </w:pPr>
            <w:r>
              <w:rPr>
                <w:snapToGrid w:val="0"/>
                <w:color w:val="000000"/>
                <w:sz w:val="19"/>
                <w:szCs w:val="19"/>
              </w:rPr>
              <w:tab/>
              <w:t>24</w:t>
            </w:r>
          </w:p>
        </w:tc>
      </w:tr>
      <w:bookmarkEnd w:id="11"/>
      <w:tr w:rsidR="00636549" w:rsidRPr="00487CAB" w14:paraId="3965A885" w14:textId="77777777" w:rsidTr="00F038AE">
        <w:tc>
          <w:tcPr>
            <w:tcW w:w="4410" w:type="dxa"/>
          </w:tcPr>
          <w:p w14:paraId="783AEF89" w14:textId="0DCD704C" w:rsidR="00636549" w:rsidRDefault="00636549" w:rsidP="00F038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80447F2" w14:textId="1B1D074D" w:rsidR="00636549" w:rsidRDefault="00636549" w:rsidP="00F038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748B50E" w14:textId="55B0DA4F" w:rsidR="00636549" w:rsidRDefault="00636549" w:rsidP="00F038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B569F06" w14:textId="1BCFFC44"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51F60DA" w14:textId="3FC36450"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FD36377" w14:textId="58CFB5CD" w:rsidR="00636549" w:rsidRDefault="00636549" w:rsidP="00F038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033723">
              <w:rPr>
                <w:snapToGrid w:val="0"/>
                <w:color w:val="000000"/>
                <w:sz w:val="19"/>
                <w:szCs w:val="19"/>
              </w:rPr>
              <w:t>190,191</w:t>
            </w:r>
          </w:p>
        </w:tc>
        <w:tc>
          <w:tcPr>
            <w:tcW w:w="1350" w:type="dxa"/>
          </w:tcPr>
          <w:p w14:paraId="3B9B7EA8" w14:textId="2EA8FE26" w:rsidR="00636549" w:rsidRPr="00636549" w:rsidRDefault="00636549" w:rsidP="00636549">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5756D63C" w14:textId="0FCFB76D" w:rsidR="00636549" w:rsidRDefault="00636549" w:rsidP="00F038AE">
            <w:pPr>
              <w:tabs>
                <w:tab w:val="decimal" w:pos="1418"/>
                <w:tab w:val="right" w:pos="9180"/>
              </w:tabs>
              <w:rPr>
                <w:snapToGrid w:val="0"/>
                <w:color w:val="000000"/>
                <w:sz w:val="19"/>
                <w:szCs w:val="19"/>
              </w:rPr>
            </w:pPr>
            <w:r>
              <w:rPr>
                <w:snapToGrid w:val="0"/>
                <w:color w:val="000000"/>
                <w:sz w:val="19"/>
                <w:szCs w:val="19"/>
              </w:rPr>
              <w:tab/>
            </w:r>
            <w:r w:rsidR="00033723">
              <w:rPr>
                <w:snapToGrid w:val="0"/>
                <w:color w:val="000000"/>
                <w:sz w:val="19"/>
                <w:szCs w:val="19"/>
              </w:rPr>
              <w:t>190,191</w:t>
            </w:r>
          </w:p>
        </w:tc>
      </w:tr>
      <w:tr w:rsidR="00B158D9" w:rsidRPr="00487CAB" w14:paraId="7961240E" w14:textId="77777777" w:rsidTr="00F038AE">
        <w:tc>
          <w:tcPr>
            <w:tcW w:w="4410" w:type="dxa"/>
          </w:tcPr>
          <w:p w14:paraId="1CBC9290" w14:textId="731F2455"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w:t>
            </w:r>
            <w:r w:rsidR="001C0E17">
              <w:rPr>
                <w:snapToGrid w:val="0"/>
                <w:color w:val="000000"/>
                <w:sz w:val="19"/>
                <w:szCs w:val="19"/>
              </w:rPr>
              <w:t>2</w:t>
            </w:r>
          </w:p>
        </w:tc>
        <w:tc>
          <w:tcPr>
            <w:tcW w:w="1170" w:type="dxa"/>
            <w:tcBorders>
              <w:bottom w:val="single" w:sz="4" w:space="0" w:color="auto"/>
            </w:tcBorders>
          </w:tcPr>
          <w:p w14:paraId="094F5C6F" w14:textId="77777777"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499B1B1" w14:textId="77777777"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742A2F3"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2722157"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5F75D102"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5E021BA" w14:textId="7B150C25"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(2,427,515)</w:t>
            </w:r>
          </w:p>
        </w:tc>
        <w:tc>
          <w:tcPr>
            <w:tcW w:w="1800" w:type="dxa"/>
            <w:tcBorders>
              <w:bottom w:val="single" w:sz="4" w:space="0" w:color="auto"/>
            </w:tcBorders>
          </w:tcPr>
          <w:p w14:paraId="427ABAE8" w14:textId="135D3A33"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(2,427,515)</w:t>
            </w:r>
          </w:p>
        </w:tc>
      </w:tr>
      <w:tr w:rsidR="00B158D9" w:rsidRPr="00487CAB" w14:paraId="748E5031" w14:textId="77777777" w:rsidTr="008258F1">
        <w:tc>
          <w:tcPr>
            <w:tcW w:w="4410" w:type="dxa"/>
          </w:tcPr>
          <w:p w14:paraId="1EB11BC2" w14:textId="1797EEEF" w:rsidR="00B158D9" w:rsidRPr="00487CAB" w:rsidRDefault="00B158D9" w:rsidP="00F038AE">
            <w:pPr>
              <w:tabs>
                <w:tab w:val="left" w:pos="144"/>
                <w:tab w:val="left" w:pos="324"/>
                <w:tab w:val="right" w:pos="9180"/>
              </w:tabs>
              <w:rPr>
                <w:snapToGrid w:val="0"/>
                <w:color w:val="000000"/>
                <w:sz w:val="19"/>
                <w:szCs w:val="19"/>
              </w:rPr>
            </w:pPr>
            <w:r w:rsidRPr="00487CAB">
              <w:rPr>
                <w:snapToGrid w:val="0"/>
                <w:color w:val="000000"/>
                <w:sz w:val="19"/>
                <w:szCs w:val="19"/>
              </w:rPr>
              <w:t>Balance at March 31, 20</w:t>
            </w:r>
            <w:r>
              <w:rPr>
                <w:snapToGrid w:val="0"/>
                <w:color w:val="000000"/>
                <w:sz w:val="19"/>
                <w:szCs w:val="19"/>
              </w:rPr>
              <w:t>2</w:t>
            </w:r>
            <w:r w:rsidR="001C0E17">
              <w:rPr>
                <w:snapToGrid w:val="0"/>
                <w:color w:val="000000"/>
                <w:sz w:val="19"/>
                <w:szCs w:val="19"/>
              </w:rPr>
              <w:t>2</w:t>
            </w:r>
          </w:p>
        </w:tc>
        <w:tc>
          <w:tcPr>
            <w:tcW w:w="1170" w:type="dxa"/>
            <w:tcBorders>
              <w:top w:val="single" w:sz="4" w:space="0" w:color="auto"/>
            </w:tcBorders>
          </w:tcPr>
          <w:p w14:paraId="0B829FE5" w14:textId="130D2300" w:rsidR="00B158D9" w:rsidRPr="00487CAB" w:rsidRDefault="00B158D9" w:rsidP="00F038AE">
            <w:pPr>
              <w:tabs>
                <w:tab w:val="decimal" w:pos="917"/>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w:t>
            </w:r>
          </w:p>
        </w:tc>
        <w:tc>
          <w:tcPr>
            <w:tcW w:w="1170" w:type="dxa"/>
            <w:tcBorders>
              <w:top w:val="single" w:sz="4" w:space="0" w:color="auto"/>
            </w:tcBorders>
          </w:tcPr>
          <w:p w14:paraId="2D3CD36F" w14:textId="0D5F6BE2" w:rsidR="00B158D9" w:rsidRPr="00487CAB" w:rsidRDefault="00B158D9" w:rsidP="00F038AE">
            <w:pPr>
              <w:tabs>
                <w:tab w:val="decimal" w:pos="798"/>
                <w:tab w:val="left" w:pos="2340"/>
                <w:tab w:val="right" w:pos="9180"/>
              </w:tabs>
              <w:rPr>
                <w:snapToGrid w:val="0"/>
                <w:color w:val="000000"/>
                <w:sz w:val="19"/>
                <w:szCs w:val="19"/>
              </w:rPr>
            </w:pPr>
            <w:r w:rsidRPr="00487CAB">
              <w:rPr>
                <w:snapToGrid w:val="0"/>
                <w:color w:val="000000"/>
                <w:sz w:val="19"/>
                <w:szCs w:val="19"/>
              </w:rPr>
              <w:tab/>
            </w:r>
            <w:r w:rsidR="001C0E17">
              <w:rPr>
                <w:snapToGrid w:val="0"/>
                <w:color w:val="000000"/>
                <w:sz w:val="19"/>
                <w:szCs w:val="19"/>
              </w:rPr>
              <w:t>-</w:t>
            </w:r>
          </w:p>
        </w:tc>
        <w:tc>
          <w:tcPr>
            <w:tcW w:w="1080" w:type="dxa"/>
            <w:tcBorders>
              <w:top w:val="single" w:sz="4" w:space="0" w:color="auto"/>
            </w:tcBorders>
          </w:tcPr>
          <w:p w14:paraId="1188087E" w14:textId="4C787BD5"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9,449,025</w:t>
            </w:r>
          </w:p>
        </w:tc>
        <w:tc>
          <w:tcPr>
            <w:tcW w:w="1170" w:type="dxa"/>
            <w:tcBorders>
              <w:top w:val="single" w:sz="4" w:space="0" w:color="auto"/>
            </w:tcBorders>
          </w:tcPr>
          <w:p w14:paraId="2ABA81F9" w14:textId="20BA6378"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9,449</w:t>
            </w:r>
          </w:p>
        </w:tc>
        <w:tc>
          <w:tcPr>
            <w:tcW w:w="1440" w:type="dxa"/>
            <w:tcBorders>
              <w:top w:val="single" w:sz="4" w:space="0" w:color="auto"/>
            </w:tcBorders>
          </w:tcPr>
          <w:p w14:paraId="5018E9C6" w14:textId="2986A612" w:rsidR="00B158D9" w:rsidRPr="00487CAB" w:rsidRDefault="00B158D9" w:rsidP="00F038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78,147,616</w:t>
            </w:r>
          </w:p>
        </w:tc>
        <w:tc>
          <w:tcPr>
            <w:tcW w:w="1350" w:type="dxa"/>
            <w:tcBorders>
              <w:top w:val="single" w:sz="4" w:space="0" w:color="auto"/>
            </w:tcBorders>
          </w:tcPr>
          <w:p w14:paraId="66CD333C" w14:textId="2334EBAC" w:rsidR="00B158D9" w:rsidRPr="00487CAB" w:rsidRDefault="00B158D9" w:rsidP="00F038AE">
            <w:pPr>
              <w:tabs>
                <w:tab w:val="decimal" w:pos="1150"/>
                <w:tab w:val="left" w:pos="2340"/>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(66,803,413)</w:t>
            </w:r>
          </w:p>
        </w:tc>
        <w:tc>
          <w:tcPr>
            <w:tcW w:w="1800" w:type="dxa"/>
            <w:tcBorders>
              <w:top w:val="single" w:sz="4" w:space="0" w:color="auto"/>
            </w:tcBorders>
          </w:tcPr>
          <w:p w14:paraId="69336A9F" w14:textId="4041E001" w:rsidR="00B158D9" w:rsidRPr="00487CAB" w:rsidRDefault="00B158D9" w:rsidP="00F038AE">
            <w:pPr>
              <w:tabs>
                <w:tab w:val="decimal" w:pos="1418"/>
                <w:tab w:val="right" w:pos="9180"/>
              </w:tabs>
              <w:rPr>
                <w:snapToGrid w:val="0"/>
                <w:color w:val="000000"/>
                <w:sz w:val="19"/>
                <w:szCs w:val="19"/>
              </w:rPr>
            </w:pPr>
            <w:r w:rsidRPr="00487CAB">
              <w:rPr>
                <w:snapToGrid w:val="0"/>
                <w:color w:val="000000"/>
                <w:sz w:val="19"/>
                <w:szCs w:val="19"/>
              </w:rPr>
              <w:tab/>
            </w:r>
            <w:r w:rsidR="00033723">
              <w:rPr>
                <w:snapToGrid w:val="0"/>
                <w:color w:val="000000"/>
                <w:sz w:val="19"/>
                <w:szCs w:val="19"/>
              </w:rPr>
              <w:t>11,353,652</w:t>
            </w:r>
          </w:p>
        </w:tc>
      </w:tr>
      <w:tr w:rsidR="008258F1" w:rsidRPr="00487CAB" w14:paraId="491CB948" w14:textId="77777777" w:rsidTr="00402BA5">
        <w:tc>
          <w:tcPr>
            <w:tcW w:w="4410" w:type="dxa"/>
          </w:tcPr>
          <w:p w14:paraId="3E0F2A18" w14:textId="49E0DA9F" w:rsidR="008258F1" w:rsidRPr="00487CAB" w:rsidRDefault="008258F1" w:rsidP="001B1FEA">
            <w:pPr>
              <w:tabs>
                <w:tab w:val="left" w:pos="144"/>
                <w:tab w:val="left" w:pos="324"/>
                <w:tab w:val="right" w:pos="9180"/>
              </w:tabs>
              <w:rPr>
                <w:snapToGrid w:val="0"/>
                <w:color w:val="000000"/>
                <w:sz w:val="19"/>
                <w:szCs w:val="19"/>
              </w:rPr>
            </w:pPr>
            <w:bookmarkStart w:id="12" w:name="_Hlk107303264"/>
            <w:bookmarkStart w:id="13" w:name="_Hlk115192055"/>
            <w:r>
              <w:rPr>
                <w:snapToGrid w:val="0"/>
                <w:color w:val="000000"/>
                <w:sz w:val="19"/>
                <w:szCs w:val="19"/>
              </w:rPr>
              <w:tab/>
            </w:r>
            <w:r w:rsidR="00402BA5">
              <w:rPr>
                <w:snapToGrid w:val="0"/>
                <w:color w:val="000000"/>
                <w:sz w:val="19"/>
                <w:szCs w:val="19"/>
              </w:rPr>
              <w:t>Sale of common stock and warrants for cash</w:t>
            </w:r>
          </w:p>
        </w:tc>
        <w:tc>
          <w:tcPr>
            <w:tcW w:w="1170" w:type="dxa"/>
          </w:tcPr>
          <w:p w14:paraId="66CEA5DF" w14:textId="77777777" w:rsidR="008258F1" w:rsidRPr="00487CAB" w:rsidRDefault="008258F1"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0BE3CF9" w14:textId="77777777" w:rsidR="008258F1" w:rsidRPr="00487CAB" w:rsidRDefault="008258F1"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D35D195" w14:textId="3DFC06B3"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1,050,000</w:t>
            </w:r>
          </w:p>
        </w:tc>
        <w:tc>
          <w:tcPr>
            <w:tcW w:w="1170" w:type="dxa"/>
          </w:tcPr>
          <w:p w14:paraId="54B612A6" w14:textId="1D4B46FA"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1,050</w:t>
            </w:r>
          </w:p>
        </w:tc>
        <w:tc>
          <w:tcPr>
            <w:tcW w:w="1440" w:type="dxa"/>
          </w:tcPr>
          <w:p w14:paraId="67F65C1E" w14:textId="790AC816" w:rsidR="008258F1" w:rsidRPr="00487CAB"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18,</w:t>
            </w:r>
            <w:r w:rsidR="00B62EFB">
              <w:rPr>
                <w:snapToGrid w:val="0"/>
                <w:color w:val="000000"/>
                <w:sz w:val="19"/>
                <w:szCs w:val="19"/>
              </w:rPr>
              <w:t>4</w:t>
            </w:r>
            <w:r w:rsidR="005A175B">
              <w:rPr>
                <w:snapToGrid w:val="0"/>
                <w:color w:val="000000"/>
                <w:sz w:val="19"/>
                <w:szCs w:val="19"/>
              </w:rPr>
              <w:t>96,896</w:t>
            </w:r>
          </w:p>
        </w:tc>
        <w:tc>
          <w:tcPr>
            <w:tcW w:w="1350" w:type="dxa"/>
          </w:tcPr>
          <w:p w14:paraId="7138E7BA" w14:textId="77777777" w:rsidR="008258F1" w:rsidRPr="00487CAB" w:rsidRDefault="008258F1"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F1EBBF0" w14:textId="30C5B8DE" w:rsidR="008258F1" w:rsidRPr="00487CAB" w:rsidRDefault="008258F1" w:rsidP="001B1FEA">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18,497,946</w:t>
            </w:r>
          </w:p>
        </w:tc>
      </w:tr>
      <w:tr w:rsidR="00402BA5" w:rsidRPr="00487CAB" w14:paraId="766A6AEE" w14:textId="77777777" w:rsidTr="00402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451094E7" w14:textId="1EE8F79B" w:rsidR="00402BA5" w:rsidRPr="00487CAB" w:rsidRDefault="00402BA5" w:rsidP="00A87DC4">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282D3743" w14:textId="77777777" w:rsidR="00402BA5" w:rsidRPr="00487CAB" w:rsidRDefault="00402BA5" w:rsidP="00A87DC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69ADDAE8" w14:textId="77777777" w:rsidR="00402BA5" w:rsidRPr="00487CAB" w:rsidRDefault="00402BA5" w:rsidP="00A87DC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4DB3E0C1" w14:textId="11F44C4F"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5,671,214</w:t>
            </w:r>
          </w:p>
        </w:tc>
        <w:tc>
          <w:tcPr>
            <w:tcW w:w="1170" w:type="dxa"/>
            <w:tcBorders>
              <w:top w:val="nil"/>
              <w:left w:val="nil"/>
              <w:bottom w:val="nil"/>
              <w:right w:val="nil"/>
            </w:tcBorders>
          </w:tcPr>
          <w:p w14:paraId="08C22A3A" w14:textId="43E5E6B8"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5,671</w:t>
            </w:r>
          </w:p>
        </w:tc>
        <w:tc>
          <w:tcPr>
            <w:tcW w:w="1440" w:type="dxa"/>
            <w:tcBorders>
              <w:top w:val="nil"/>
              <w:left w:val="nil"/>
              <w:bottom w:val="nil"/>
              <w:right w:val="nil"/>
            </w:tcBorders>
          </w:tcPr>
          <w:p w14:paraId="1BDAABF2" w14:textId="32DB02B4"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(5,104)</w:t>
            </w:r>
          </w:p>
        </w:tc>
        <w:tc>
          <w:tcPr>
            <w:tcW w:w="1350" w:type="dxa"/>
            <w:tcBorders>
              <w:top w:val="nil"/>
              <w:left w:val="nil"/>
              <w:bottom w:val="nil"/>
              <w:right w:val="nil"/>
            </w:tcBorders>
          </w:tcPr>
          <w:p w14:paraId="2F031139" w14:textId="77777777" w:rsidR="00402BA5" w:rsidRPr="00487CAB" w:rsidRDefault="00402BA5" w:rsidP="00A87DC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23B874ED" w14:textId="1B120765" w:rsidR="00402BA5" w:rsidRPr="00487CAB" w:rsidRDefault="00402BA5" w:rsidP="00A87DC4">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567</w:t>
            </w:r>
          </w:p>
        </w:tc>
      </w:tr>
      <w:tr w:rsidR="00402BA5" w:rsidRPr="00487CAB" w14:paraId="53D2C625" w14:textId="77777777" w:rsidTr="00402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65933740" w14:textId="77777777" w:rsidR="00402BA5" w:rsidRPr="00487CAB" w:rsidRDefault="00402BA5" w:rsidP="00A87DC4">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5BBB7CCC" w14:textId="77777777" w:rsidR="00402BA5" w:rsidRPr="00487CAB" w:rsidRDefault="00402BA5" w:rsidP="00A87DC4">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42AF8330" w14:textId="77777777" w:rsidR="00402BA5" w:rsidRPr="00487CAB" w:rsidRDefault="00402BA5" w:rsidP="00A87DC4">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6248A38C" w14:textId="010A305C"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68,500</w:t>
            </w:r>
          </w:p>
        </w:tc>
        <w:tc>
          <w:tcPr>
            <w:tcW w:w="1170" w:type="dxa"/>
            <w:tcBorders>
              <w:top w:val="nil"/>
              <w:left w:val="nil"/>
              <w:bottom w:val="nil"/>
              <w:right w:val="nil"/>
            </w:tcBorders>
          </w:tcPr>
          <w:p w14:paraId="17B72D45" w14:textId="09389EA3"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69</w:t>
            </w:r>
          </w:p>
        </w:tc>
        <w:tc>
          <w:tcPr>
            <w:tcW w:w="1440" w:type="dxa"/>
            <w:tcBorders>
              <w:top w:val="nil"/>
              <w:left w:val="nil"/>
              <w:bottom w:val="nil"/>
              <w:right w:val="nil"/>
            </w:tcBorders>
          </w:tcPr>
          <w:p w14:paraId="695069C2" w14:textId="42998BED" w:rsidR="00402BA5" w:rsidRPr="00487CAB" w:rsidRDefault="00402BA5" w:rsidP="00A87DC4">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71,931</w:t>
            </w:r>
          </w:p>
        </w:tc>
        <w:tc>
          <w:tcPr>
            <w:tcW w:w="1350" w:type="dxa"/>
            <w:tcBorders>
              <w:top w:val="nil"/>
              <w:left w:val="nil"/>
              <w:bottom w:val="nil"/>
              <w:right w:val="nil"/>
            </w:tcBorders>
          </w:tcPr>
          <w:p w14:paraId="4CF6326F" w14:textId="77777777" w:rsidR="00402BA5" w:rsidRPr="00487CAB" w:rsidRDefault="00402BA5" w:rsidP="00A87DC4">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1BF9A8F0" w14:textId="29B717EE" w:rsidR="00402BA5" w:rsidRPr="00487CAB" w:rsidRDefault="00402BA5" w:rsidP="00A87DC4">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72,000</w:t>
            </w:r>
          </w:p>
        </w:tc>
      </w:tr>
      <w:bookmarkEnd w:id="12"/>
      <w:tr w:rsidR="008258F1" w:rsidRPr="00487CAB" w14:paraId="27881D9D" w14:textId="77777777" w:rsidTr="00402BA5">
        <w:tc>
          <w:tcPr>
            <w:tcW w:w="4410" w:type="dxa"/>
          </w:tcPr>
          <w:p w14:paraId="6DFCE9DA" w14:textId="77777777" w:rsidR="008258F1" w:rsidRDefault="008258F1"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1AA44336" w14:textId="77777777" w:rsidR="008258F1" w:rsidRDefault="008258F1"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AB34190" w14:textId="77777777" w:rsidR="008258F1" w:rsidRDefault="008258F1"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9E70E13" w14:textId="77777777"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013C3CB" w14:textId="77777777"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14B3B3B" w14:textId="3E09A655" w:rsidR="008258F1" w:rsidRDefault="008258F1"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A175B">
              <w:rPr>
                <w:snapToGrid w:val="0"/>
                <w:color w:val="000000"/>
                <w:sz w:val="19"/>
                <w:szCs w:val="19"/>
              </w:rPr>
              <w:t>190,191</w:t>
            </w:r>
          </w:p>
        </w:tc>
        <w:tc>
          <w:tcPr>
            <w:tcW w:w="1350" w:type="dxa"/>
          </w:tcPr>
          <w:p w14:paraId="7E2C2344" w14:textId="77777777" w:rsidR="008258F1" w:rsidRPr="00636549" w:rsidRDefault="008258F1" w:rsidP="008258F1">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7E51E9ED" w14:textId="6CB7B811" w:rsidR="008258F1" w:rsidRDefault="008258F1" w:rsidP="001B1FEA">
            <w:pPr>
              <w:tabs>
                <w:tab w:val="decimal" w:pos="1418"/>
                <w:tab w:val="right" w:pos="9180"/>
              </w:tabs>
              <w:rPr>
                <w:snapToGrid w:val="0"/>
                <w:color w:val="000000"/>
                <w:sz w:val="19"/>
                <w:szCs w:val="19"/>
              </w:rPr>
            </w:pPr>
            <w:r>
              <w:rPr>
                <w:snapToGrid w:val="0"/>
                <w:color w:val="000000"/>
                <w:sz w:val="19"/>
                <w:szCs w:val="19"/>
              </w:rPr>
              <w:tab/>
            </w:r>
            <w:r w:rsidR="005A175B">
              <w:rPr>
                <w:snapToGrid w:val="0"/>
                <w:color w:val="000000"/>
                <w:sz w:val="19"/>
                <w:szCs w:val="19"/>
              </w:rPr>
              <w:t>190,191</w:t>
            </w:r>
          </w:p>
        </w:tc>
      </w:tr>
      <w:tr w:rsidR="008258F1" w:rsidRPr="00487CAB" w14:paraId="542856B0" w14:textId="77777777" w:rsidTr="001B1FEA">
        <w:tc>
          <w:tcPr>
            <w:tcW w:w="4410" w:type="dxa"/>
          </w:tcPr>
          <w:p w14:paraId="2BE4D4E5" w14:textId="12162EE6" w:rsidR="008258F1" w:rsidRPr="00487CAB" w:rsidRDefault="008258F1" w:rsidP="001B1FEA">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04C82C43" w14:textId="77777777" w:rsidR="008258F1" w:rsidRPr="00487CAB" w:rsidRDefault="008258F1"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E56BC5E" w14:textId="77777777" w:rsidR="008258F1" w:rsidRPr="00487CAB" w:rsidRDefault="008258F1"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30851434"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C64CF40"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26FCB94" w14:textId="7777777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5E1B405" w14:textId="1CA1C26F" w:rsidR="008258F1" w:rsidRPr="00487CAB" w:rsidRDefault="008258F1"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(2,</w:t>
            </w:r>
            <w:r w:rsidR="00E451B0">
              <w:rPr>
                <w:snapToGrid w:val="0"/>
                <w:color w:val="000000"/>
                <w:sz w:val="19"/>
                <w:szCs w:val="19"/>
              </w:rPr>
              <w:t>241,699</w:t>
            </w:r>
            <w:r w:rsidR="005A175B">
              <w:rPr>
                <w:snapToGrid w:val="0"/>
                <w:color w:val="000000"/>
                <w:sz w:val="19"/>
                <w:szCs w:val="19"/>
              </w:rPr>
              <w:t>)</w:t>
            </w:r>
          </w:p>
        </w:tc>
        <w:tc>
          <w:tcPr>
            <w:tcW w:w="1800" w:type="dxa"/>
            <w:tcBorders>
              <w:bottom w:val="single" w:sz="4" w:space="0" w:color="auto"/>
            </w:tcBorders>
          </w:tcPr>
          <w:p w14:paraId="4EC41A0D" w14:textId="1588C108" w:rsidR="008258F1" w:rsidRPr="00487CAB" w:rsidRDefault="008258F1" w:rsidP="001B1FEA">
            <w:pPr>
              <w:tabs>
                <w:tab w:val="decimal" w:pos="1418"/>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(2,</w:t>
            </w:r>
            <w:r w:rsidR="00E451B0">
              <w:rPr>
                <w:snapToGrid w:val="0"/>
                <w:color w:val="000000"/>
                <w:sz w:val="19"/>
                <w:szCs w:val="19"/>
              </w:rPr>
              <w:t>241,699</w:t>
            </w:r>
            <w:r w:rsidR="005A175B">
              <w:rPr>
                <w:snapToGrid w:val="0"/>
                <w:color w:val="000000"/>
                <w:sz w:val="19"/>
                <w:szCs w:val="19"/>
              </w:rPr>
              <w:t>)</w:t>
            </w:r>
          </w:p>
        </w:tc>
      </w:tr>
      <w:tr w:rsidR="008258F1" w:rsidRPr="00487CAB" w14:paraId="5FD7FC1C" w14:textId="77777777" w:rsidTr="00142598">
        <w:tc>
          <w:tcPr>
            <w:tcW w:w="4410" w:type="dxa"/>
          </w:tcPr>
          <w:p w14:paraId="2A928258" w14:textId="3E883D7E" w:rsidR="008258F1" w:rsidRPr="00487CAB" w:rsidRDefault="008258F1" w:rsidP="001B1FEA">
            <w:pPr>
              <w:tabs>
                <w:tab w:val="left" w:pos="144"/>
                <w:tab w:val="left" w:pos="324"/>
                <w:tab w:val="right" w:pos="9180"/>
              </w:tabs>
              <w:rPr>
                <w:snapToGrid w:val="0"/>
                <w:color w:val="000000"/>
                <w:sz w:val="19"/>
                <w:szCs w:val="19"/>
              </w:rPr>
            </w:pPr>
            <w:r w:rsidRPr="00487CAB">
              <w:rPr>
                <w:snapToGrid w:val="0"/>
                <w:color w:val="000000"/>
                <w:sz w:val="19"/>
                <w:szCs w:val="19"/>
              </w:rPr>
              <w:t>Balance at</w:t>
            </w:r>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tcBorders>
          </w:tcPr>
          <w:p w14:paraId="519F2CBB" w14:textId="77777777" w:rsidR="008258F1" w:rsidRPr="00487CAB" w:rsidRDefault="008258F1"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6283D5B4" w14:textId="212B8B95" w:rsidR="008258F1" w:rsidRPr="00487CAB" w:rsidRDefault="008258F1"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76AA3713" w14:textId="4A90DE07"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16,238,739</w:t>
            </w:r>
          </w:p>
        </w:tc>
        <w:tc>
          <w:tcPr>
            <w:tcW w:w="1170" w:type="dxa"/>
            <w:tcBorders>
              <w:top w:val="single" w:sz="4" w:space="0" w:color="auto"/>
            </w:tcBorders>
          </w:tcPr>
          <w:p w14:paraId="7B0FC830" w14:textId="1E96955E"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16,239</w:t>
            </w:r>
          </w:p>
        </w:tc>
        <w:tc>
          <w:tcPr>
            <w:tcW w:w="1440" w:type="dxa"/>
            <w:tcBorders>
              <w:top w:val="single" w:sz="4" w:space="0" w:color="auto"/>
            </w:tcBorders>
          </w:tcPr>
          <w:p w14:paraId="277FD60C" w14:textId="11ED0082" w:rsidR="008258F1" w:rsidRPr="00487CAB" w:rsidRDefault="008258F1"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96,901,530</w:t>
            </w:r>
          </w:p>
        </w:tc>
        <w:tc>
          <w:tcPr>
            <w:tcW w:w="1350" w:type="dxa"/>
            <w:tcBorders>
              <w:top w:val="single" w:sz="4" w:space="0" w:color="auto"/>
            </w:tcBorders>
          </w:tcPr>
          <w:p w14:paraId="6E434088" w14:textId="4C392809" w:rsidR="008258F1" w:rsidRPr="00487CAB" w:rsidRDefault="008258F1"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sidR="005A175B">
              <w:rPr>
                <w:snapToGrid w:val="0"/>
                <w:color w:val="000000"/>
                <w:sz w:val="19"/>
                <w:szCs w:val="19"/>
              </w:rPr>
              <w:t>(</w:t>
            </w:r>
            <w:r w:rsidR="00E602A0">
              <w:rPr>
                <w:snapToGrid w:val="0"/>
                <w:color w:val="000000"/>
                <w:sz w:val="19"/>
                <w:szCs w:val="19"/>
              </w:rPr>
              <w:t>6</w:t>
            </w:r>
            <w:r w:rsidR="00E451B0">
              <w:rPr>
                <w:snapToGrid w:val="0"/>
                <w:color w:val="000000"/>
                <w:sz w:val="19"/>
                <w:szCs w:val="19"/>
              </w:rPr>
              <w:t>9,045,112</w:t>
            </w:r>
            <w:r w:rsidR="005A175B">
              <w:rPr>
                <w:snapToGrid w:val="0"/>
                <w:color w:val="000000"/>
                <w:sz w:val="19"/>
                <w:szCs w:val="19"/>
              </w:rPr>
              <w:t>)</w:t>
            </w:r>
          </w:p>
        </w:tc>
        <w:tc>
          <w:tcPr>
            <w:tcW w:w="1800" w:type="dxa"/>
            <w:tcBorders>
              <w:top w:val="single" w:sz="4" w:space="0" w:color="auto"/>
            </w:tcBorders>
          </w:tcPr>
          <w:p w14:paraId="250F87C3" w14:textId="47C1AC93" w:rsidR="008258F1" w:rsidRPr="00487CAB" w:rsidRDefault="008258F1" w:rsidP="001B1FEA">
            <w:pPr>
              <w:tabs>
                <w:tab w:val="decimal" w:pos="1418"/>
                <w:tab w:val="right" w:pos="9180"/>
              </w:tabs>
              <w:rPr>
                <w:snapToGrid w:val="0"/>
                <w:color w:val="000000"/>
                <w:sz w:val="19"/>
                <w:szCs w:val="19"/>
              </w:rPr>
            </w:pPr>
            <w:r w:rsidRPr="00487CAB">
              <w:rPr>
                <w:snapToGrid w:val="0"/>
                <w:color w:val="000000"/>
                <w:sz w:val="19"/>
                <w:szCs w:val="19"/>
              </w:rPr>
              <w:tab/>
            </w:r>
            <w:r w:rsidR="00E602A0">
              <w:rPr>
                <w:snapToGrid w:val="0"/>
                <w:color w:val="000000"/>
                <w:sz w:val="19"/>
                <w:szCs w:val="19"/>
              </w:rPr>
              <w:t>2</w:t>
            </w:r>
            <w:r w:rsidR="00E451B0">
              <w:rPr>
                <w:snapToGrid w:val="0"/>
                <w:color w:val="000000"/>
                <w:sz w:val="19"/>
                <w:szCs w:val="19"/>
              </w:rPr>
              <w:t>7,872,657</w:t>
            </w:r>
          </w:p>
        </w:tc>
      </w:tr>
      <w:bookmarkEnd w:id="13"/>
      <w:tr w:rsidR="00B61092" w:rsidRPr="00487CAB" w14:paraId="5A9761DD" w14:textId="77777777" w:rsidTr="00B5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0F8B8A29" w14:textId="77777777" w:rsidR="00B61092" w:rsidRPr="00487CAB" w:rsidRDefault="00B61092" w:rsidP="00B55AAE">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77400D79" w14:textId="77777777" w:rsidR="00B61092" w:rsidRPr="00487CAB" w:rsidRDefault="00B61092"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6F51DF34" w14:textId="77777777" w:rsidR="00B61092" w:rsidRPr="00487CAB" w:rsidRDefault="00B61092"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32ECBEA9" w14:textId="77A68AB8"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10,021,214</w:t>
            </w:r>
          </w:p>
        </w:tc>
        <w:tc>
          <w:tcPr>
            <w:tcW w:w="1170" w:type="dxa"/>
            <w:tcBorders>
              <w:top w:val="nil"/>
              <w:left w:val="nil"/>
              <w:bottom w:val="nil"/>
              <w:right w:val="nil"/>
            </w:tcBorders>
          </w:tcPr>
          <w:p w14:paraId="3F5B1B1B" w14:textId="613BDF15"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10,021</w:t>
            </w:r>
          </w:p>
        </w:tc>
        <w:tc>
          <w:tcPr>
            <w:tcW w:w="1440" w:type="dxa"/>
            <w:tcBorders>
              <w:top w:val="nil"/>
              <w:left w:val="nil"/>
              <w:bottom w:val="nil"/>
              <w:right w:val="nil"/>
            </w:tcBorders>
          </w:tcPr>
          <w:p w14:paraId="252BC01D" w14:textId="7340947B"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7,615,522</w:t>
            </w:r>
          </w:p>
        </w:tc>
        <w:tc>
          <w:tcPr>
            <w:tcW w:w="1350" w:type="dxa"/>
            <w:tcBorders>
              <w:top w:val="nil"/>
              <w:left w:val="nil"/>
              <w:bottom w:val="nil"/>
              <w:right w:val="nil"/>
            </w:tcBorders>
          </w:tcPr>
          <w:p w14:paraId="1A75E231" w14:textId="77777777" w:rsidR="00B61092" w:rsidRPr="00487CAB" w:rsidRDefault="00B61092" w:rsidP="00B55A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37733A7B" w14:textId="09028C2F" w:rsidR="00B61092" w:rsidRPr="00487CAB" w:rsidRDefault="00B61092" w:rsidP="00B55AAE">
            <w:pPr>
              <w:tabs>
                <w:tab w:val="decimal" w:pos="1418"/>
                <w:tab w:val="right" w:pos="9180"/>
              </w:tabs>
              <w:rPr>
                <w:snapToGrid w:val="0"/>
                <w:color w:val="000000"/>
                <w:sz w:val="19"/>
                <w:szCs w:val="19"/>
              </w:rPr>
            </w:pPr>
            <w:r>
              <w:rPr>
                <w:snapToGrid w:val="0"/>
                <w:color w:val="000000"/>
                <w:sz w:val="19"/>
                <w:szCs w:val="19"/>
              </w:rPr>
              <w:tab/>
            </w:r>
            <w:r w:rsidR="009A2FDD">
              <w:rPr>
                <w:snapToGrid w:val="0"/>
                <w:color w:val="000000"/>
                <w:sz w:val="19"/>
                <w:szCs w:val="19"/>
              </w:rPr>
              <w:t>7,625,543</w:t>
            </w:r>
          </w:p>
        </w:tc>
      </w:tr>
      <w:tr w:rsidR="00B61092" w:rsidRPr="00487CAB" w14:paraId="558685DB" w14:textId="77777777" w:rsidTr="00B5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7C924BAD" w14:textId="77777777" w:rsidR="00B61092" w:rsidRPr="00487CAB" w:rsidRDefault="00B61092" w:rsidP="00B55AAE">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136E175F" w14:textId="77777777" w:rsidR="00B61092" w:rsidRPr="00487CAB" w:rsidRDefault="00B61092"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0183642B" w14:textId="77777777" w:rsidR="00B61092" w:rsidRPr="00487CAB" w:rsidRDefault="00B61092"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28A67221" w14:textId="6FE05AC9"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75,000</w:t>
            </w:r>
          </w:p>
        </w:tc>
        <w:tc>
          <w:tcPr>
            <w:tcW w:w="1170" w:type="dxa"/>
            <w:tcBorders>
              <w:top w:val="nil"/>
              <w:left w:val="nil"/>
              <w:bottom w:val="nil"/>
              <w:right w:val="nil"/>
            </w:tcBorders>
          </w:tcPr>
          <w:p w14:paraId="147531C9" w14:textId="7BCD993F"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75</w:t>
            </w:r>
          </w:p>
        </w:tc>
        <w:tc>
          <w:tcPr>
            <w:tcW w:w="1440" w:type="dxa"/>
            <w:tcBorders>
              <w:top w:val="nil"/>
              <w:left w:val="nil"/>
              <w:bottom w:val="nil"/>
              <w:right w:val="nil"/>
            </w:tcBorders>
          </w:tcPr>
          <w:p w14:paraId="6F03AA2C" w14:textId="41079028"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9A2FDD">
              <w:rPr>
                <w:snapToGrid w:val="0"/>
                <w:color w:val="000000"/>
                <w:sz w:val="19"/>
                <w:szCs w:val="19"/>
              </w:rPr>
              <w:t>60,675</w:t>
            </w:r>
          </w:p>
        </w:tc>
        <w:tc>
          <w:tcPr>
            <w:tcW w:w="1350" w:type="dxa"/>
            <w:tcBorders>
              <w:top w:val="nil"/>
              <w:left w:val="nil"/>
              <w:bottom w:val="nil"/>
              <w:right w:val="nil"/>
            </w:tcBorders>
          </w:tcPr>
          <w:p w14:paraId="7AA43A60" w14:textId="77777777" w:rsidR="00B61092" w:rsidRPr="00487CAB" w:rsidRDefault="00B61092" w:rsidP="00B55A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09607C20" w14:textId="3407CCF7" w:rsidR="00B61092" w:rsidRPr="00487CAB" w:rsidRDefault="00B61092" w:rsidP="00B55AAE">
            <w:pPr>
              <w:tabs>
                <w:tab w:val="decimal" w:pos="1418"/>
                <w:tab w:val="right" w:pos="9180"/>
              </w:tabs>
              <w:rPr>
                <w:snapToGrid w:val="0"/>
                <w:color w:val="000000"/>
                <w:sz w:val="19"/>
                <w:szCs w:val="19"/>
              </w:rPr>
            </w:pPr>
            <w:r>
              <w:rPr>
                <w:snapToGrid w:val="0"/>
                <w:color w:val="000000"/>
                <w:sz w:val="19"/>
                <w:szCs w:val="19"/>
              </w:rPr>
              <w:tab/>
            </w:r>
            <w:r w:rsidR="009A2FDD">
              <w:rPr>
                <w:snapToGrid w:val="0"/>
                <w:color w:val="000000"/>
                <w:sz w:val="19"/>
                <w:szCs w:val="19"/>
              </w:rPr>
              <w:t>60,750</w:t>
            </w:r>
          </w:p>
        </w:tc>
      </w:tr>
      <w:tr w:rsidR="00B61092" w:rsidRPr="00487CAB" w14:paraId="2DB84CE8" w14:textId="77777777" w:rsidTr="00B55AAE">
        <w:tc>
          <w:tcPr>
            <w:tcW w:w="4410" w:type="dxa"/>
          </w:tcPr>
          <w:p w14:paraId="24C9FF2C" w14:textId="77777777" w:rsidR="00B61092" w:rsidRDefault="00B61092" w:rsidP="00B55A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744F01F0" w14:textId="77777777" w:rsidR="00B61092" w:rsidRDefault="00B61092"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160A54EB" w14:textId="77777777" w:rsidR="00B61092" w:rsidRDefault="00B61092"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568713F" w14:textId="77777777" w:rsidR="00B61092"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2CD485E" w14:textId="77777777" w:rsidR="00B61092"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85E06C2" w14:textId="77777777" w:rsidR="00B61092"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1A35F454" w14:textId="77777777" w:rsidR="00B61092" w:rsidRPr="00636549" w:rsidRDefault="00B61092" w:rsidP="00B55AAE">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22EB08AB" w14:textId="77777777" w:rsidR="00B61092" w:rsidRDefault="00B61092" w:rsidP="00B55AAE">
            <w:pPr>
              <w:tabs>
                <w:tab w:val="decimal" w:pos="1418"/>
                <w:tab w:val="right" w:pos="9180"/>
              </w:tabs>
              <w:rPr>
                <w:snapToGrid w:val="0"/>
                <w:color w:val="000000"/>
                <w:sz w:val="19"/>
                <w:szCs w:val="19"/>
              </w:rPr>
            </w:pPr>
            <w:r>
              <w:rPr>
                <w:snapToGrid w:val="0"/>
                <w:color w:val="000000"/>
                <w:sz w:val="19"/>
                <w:szCs w:val="19"/>
              </w:rPr>
              <w:tab/>
              <w:t>190,191</w:t>
            </w:r>
          </w:p>
        </w:tc>
      </w:tr>
      <w:tr w:rsidR="00B61092" w:rsidRPr="00487CAB" w14:paraId="206076F1" w14:textId="77777777" w:rsidTr="00B55AAE">
        <w:tc>
          <w:tcPr>
            <w:tcW w:w="4410" w:type="dxa"/>
          </w:tcPr>
          <w:p w14:paraId="5EC87D4E" w14:textId="77777777" w:rsidR="00B61092" w:rsidRDefault="00B61092" w:rsidP="00B55AAE">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126B3062" w14:textId="3A4D1AA7" w:rsidR="00B61092" w:rsidRPr="00487CAB" w:rsidRDefault="00B61092" w:rsidP="00B55AAE">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2C7CDDD4" w14:textId="77777777" w:rsidR="00B61092" w:rsidRDefault="00B61092" w:rsidP="00B55AAE">
            <w:pPr>
              <w:tabs>
                <w:tab w:val="decimal" w:pos="917"/>
                <w:tab w:val="left" w:pos="2340"/>
                <w:tab w:val="right" w:pos="9180"/>
              </w:tabs>
              <w:rPr>
                <w:snapToGrid w:val="0"/>
                <w:color w:val="000000"/>
                <w:sz w:val="19"/>
                <w:szCs w:val="19"/>
              </w:rPr>
            </w:pPr>
          </w:p>
          <w:p w14:paraId="352BD9BF" w14:textId="3B043BF4" w:rsidR="00B61092" w:rsidRPr="00487CAB" w:rsidRDefault="00B61092" w:rsidP="00B55A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6241B1C" w14:textId="77777777" w:rsidR="00B61092" w:rsidRDefault="00B61092" w:rsidP="00B55AAE">
            <w:pPr>
              <w:tabs>
                <w:tab w:val="decimal" w:pos="798"/>
                <w:tab w:val="left" w:pos="2340"/>
                <w:tab w:val="right" w:pos="9180"/>
              </w:tabs>
              <w:rPr>
                <w:snapToGrid w:val="0"/>
                <w:color w:val="000000"/>
                <w:sz w:val="19"/>
                <w:szCs w:val="19"/>
              </w:rPr>
            </w:pPr>
          </w:p>
          <w:p w14:paraId="6E4D4C6D" w14:textId="4D56CDDB" w:rsidR="00B61092" w:rsidRPr="00487CAB" w:rsidRDefault="00B61092" w:rsidP="00B55A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3132485" w14:textId="77777777" w:rsidR="00B61092" w:rsidRDefault="00B61092" w:rsidP="00B55AAE">
            <w:pPr>
              <w:tabs>
                <w:tab w:val="decimal" w:pos="1148"/>
                <w:tab w:val="decimal" w:pos="1422"/>
                <w:tab w:val="left" w:pos="2340"/>
                <w:tab w:val="right" w:pos="9180"/>
              </w:tabs>
              <w:rPr>
                <w:snapToGrid w:val="0"/>
                <w:color w:val="000000"/>
                <w:sz w:val="19"/>
                <w:szCs w:val="19"/>
              </w:rPr>
            </w:pPr>
          </w:p>
          <w:p w14:paraId="2679DBD9" w14:textId="0230BEC4" w:rsidR="00B61092" w:rsidRPr="00487CAB" w:rsidRDefault="00B61092"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5852D538" w14:textId="77777777" w:rsidR="00B61092" w:rsidRDefault="00B61092" w:rsidP="00B55AAE">
            <w:pPr>
              <w:tabs>
                <w:tab w:val="decimal" w:pos="1148"/>
                <w:tab w:val="decimal" w:pos="1422"/>
                <w:tab w:val="left" w:pos="2340"/>
                <w:tab w:val="right" w:pos="9180"/>
              </w:tabs>
              <w:rPr>
                <w:snapToGrid w:val="0"/>
                <w:color w:val="000000"/>
                <w:sz w:val="19"/>
                <w:szCs w:val="19"/>
              </w:rPr>
            </w:pPr>
          </w:p>
          <w:p w14:paraId="2BF3DD30" w14:textId="306CC874" w:rsidR="00B61092" w:rsidRPr="00487CAB" w:rsidRDefault="00B61092"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044F5F7E" w14:textId="77777777" w:rsidR="00B61092" w:rsidRDefault="00B61092" w:rsidP="00B55AAE">
            <w:pPr>
              <w:tabs>
                <w:tab w:val="decimal" w:pos="1148"/>
                <w:tab w:val="decimal" w:pos="1422"/>
                <w:tab w:val="left" w:pos="2340"/>
                <w:tab w:val="right" w:pos="9180"/>
              </w:tabs>
              <w:rPr>
                <w:snapToGrid w:val="0"/>
                <w:color w:val="000000"/>
                <w:sz w:val="19"/>
                <w:szCs w:val="19"/>
              </w:rPr>
            </w:pPr>
          </w:p>
          <w:p w14:paraId="45794D9C" w14:textId="7CCA9F54" w:rsidR="00B61092" w:rsidRPr="00487CAB" w:rsidRDefault="00B61092"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0D4AFEE" w14:textId="77777777" w:rsidR="00B61092" w:rsidRDefault="00B61092" w:rsidP="00B55AAE">
            <w:pPr>
              <w:tabs>
                <w:tab w:val="decimal" w:pos="1150"/>
                <w:tab w:val="left" w:pos="2340"/>
                <w:tab w:val="right" w:pos="9180"/>
              </w:tabs>
              <w:rPr>
                <w:snapToGrid w:val="0"/>
                <w:color w:val="000000"/>
                <w:sz w:val="19"/>
                <w:szCs w:val="19"/>
              </w:rPr>
            </w:pPr>
          </w:p>
          <w:p w14:paraId="59A324F9" w14:textId="7C68F5F8" w:rsidR="00B61092" w:rsidRPr="00487CAB" w:rsidRDefault="00B61092" w:rsidP="00B55AAE">
            <w:pPr>
              <w:tabs>
                <w:tab w:val="decimal" w:pos="1150"/>
                <w:tab w:val="left" w:pos="2340"/>
                <w:tab w:val="right" w:pos="9180"/>
              </w:tabs>
              <w:rPr>
                <w:snapToGrid w:val="0"/>
                <w:color w:val="000000"/>
                <w:sz w:val="19"/>
                <w:szCs w:val="19"/>
              </w:rPr>
            </w:pPr>
            <w:r w:rsidRPr="00487CAB">
              <w:rPr>
                <w:snapToGrid w:val="0"/>
                <w:color w:val="000000"/>
                <w:sz w:val="19"/>
                <w:szCs w:val="19"/>
              </w:rPr>
              <w:tab/>
            </w:r>
            <w:r w:rsidR="00054F5F">
              <w:rPr>
                <w:snapToGrid w:val="0"/>
                <w:color w:val="000000"/>
                <w:sz w:val="19"/>
                <w:szCs w:val="19"/>
              </w:rPr>
              <w:t>(3,9</w:t>
            </w:r>
            <w:r w:rsidR="00D12423">
              <w:rPr>
                <w:snapToGrid w:val="0"/>
                <w:color w:val="000000"/>
                <w:sz w:val="19"/>
                <w:szCs w:val="19"/>
              </w:rPr>
              <w:t>6</w:t>
            </w:r>
            <w:r w:rsidR="00054F5F">
              <w:rPr>
                <w:snapToGrid w:val="0"/>
                <w:color w:val="000000"/>
                <w:sz w:val="19"/>
                <w:szCs w:val="19"/>
              </w:rPr>
              <w:t>8,102)</w:t>
            </w:r>
          </w:p>
        </w:tc>
        <w:tc>
          <w:tcPr>
            <w:tcW w:w="1800" w:type="dxa"/>
            <w:tcBorders>
              <w:bottom w:val="single" w:sz="4" w:space="0" w:color="auto"/>
            </w:tcBorders>
          </w:tcPr>
          <w:p w14:paraId="5AA16398" w14:textId="77777777" w:rsidR="00B61092" w:rsidRDefault="00B61092" w:rsidP="00B55AAE">
            <w:pPr>
              <w:tabs>
                <w:tab w:val="decimal" w:pos="1418"/>
                <w:tab w:val="right" w:pos="9180"/>
              </w:tabs>
              <w:rPr>
                <w:snapToGrid w:val="0"/>
                <w:color w:val="000000"/>
                <w:sz w:val="19"/>
                <w:szCs w:val="19"/>
              </w:rPr>
            </w:pPr>
          </w:p>
          <w:p w14:paraId="62CE5359" w14:textId="61B11B09" w:rsidR="00B61092" w:rsidRPr="00487CAB" w:rsidRDefault="00B61092" w:rsidP="00B55AAE">
            <w:pPr>
              <w:tabs>
                <w:tab w:val="decimal" w:pos="1418"/>
                <w:tab w:val="right" w:pos="9180"/>
              </w:tabs>
              <w:rPr>
                <w:snapToGrid w:val="0"/>
                <w:color w:val="000000"/>
                <w:sz w:val="19"/>
                <w:szCs w:val="19"/>
              </w:rPr>
            </w:pPr>
            <w:r w:rsidRPr="00487CAB">
              <w:rPr>
                <w:snapToGrid w:val="0"/>
                <w:color w:val="000000"/>
                <w:sz w:val="19"/>
                <w:szCs w:val="19"/>
              </w:rPr>
              <w:tab/>
            </w:r>
            <w:r w:rsidR="00054F5F">
              <w:rPr>
                <w:snapToGrid w:val="0"/>
                <w:color w:val="000000"/>
                <w:sz w:val="19"/>
                <w:szCs w:val="19"/>
              </w:rPr>
              <w:t>(3,9</w:t>
            </w:r>
            <w:r w:rsidR="00D12423">
              <w:rPr>
                <w:snapToGrid w:val="0"/>
                <w:color w:val="000000"/>
                <w:sz w:val="19"/>
                <w:szCs w:val="19"/>
              </w:rPr>
              <w:t>6</w:t>
            </w:r>
            <w:r w:rsidR="00054F5F">
              <w:rPr>
                <w:snapToGrid w:val="0"/>
                <w:color w:val="000000"/>
                <w:sz w:val="19"/>
                <w:szCs w:val="19"/>
              </w:rPr>
              <w:t>8,102)</w:t>
            </w:r>
          </w:p>
        </w:tc>
      </w:tr>
      <w:tr w:rsidR="00B61092" w:rsidRPr="00487CAB" w14:paraId="6F20189F" w14:textId="77777777" w:rsidTr="00B55AAE">
        <w:tc>
          <w:tcPr>
            <w:tcW w:w="4410" w:type="dxa"/>
          </w:tcPr>
          <w:p w14:paraId="2FBFCDD3" w14:textId="76982553" w:rsidR="00B61092" w:rsidRPr="00487CAB" w:rsidRDefault="00B61092" w:rsidP="00B55AAE">
            <w:pPr>
              <w:tabs>
                <w:tab w:val="left" w:pos="144"/>
                <w:tab w:val="left" w:pos="324"/>
                <w:tab w:val="right" w:pos="9180"/>
              </w:tabs>
              <w:rPr>
                <w:snapToGrid w:val="0"/>
                <w:color w:val="000000"/>
                <w:sz w:val="19"/>
                <w:szCs w:val="19"/>
              </w:rPr>
            </w:pPr>
            <w:r w:rsidRPr="00487CAB">
              <w:rPr>
                <w:snapToGrid w:val="0"/>
                <w:color w:val="000000"/>
                <w:sz w:val="19"/>
                <w:szCs w:val="19"/>
              </w:rPr>
              <w:t>Balance at</w:t>
            </w:r>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bottom w:val="double" w:sz="4" w:space="0" w:color="auto"/>
            </w:tcBorders>
          </w:tcPr>
          <w:p w14:paraId="6C47DC0F" w14:textId="77777777" w:rsidR="00B61092" w:rsidRPr="00487CAB" w:rsidRDefault="00B61092" w:rsidP="00B55AAE">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1BD2256F" w14:textId="77777777" w:rsidR="00B61092" w:rsidRPr="00487CAB" w:rsidRDefault="00B61092" w:rsidP="00B55AAE">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67F2E212" w14:textId="04D958BC" w:rsidR="00B61092" w:rsidRPr="00487CAB" w:rsidRDefault="00B61092"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9A2FDD">
              <w:rPr>
                <w:snapToGrid w:val="0"/>
                <w:color w:val="000000"/>
                <w:sz w:val="19"/>
                <w:szCs w:val="19"/>
              </w:rPr>
              <w:t>26,334,953</w:t>
            </w:r>
          </w:p>
        </w:tc>
        <w:tc>
          <w:tcPr>
            <w:tcW w:w="1170" w:type="dxa"/>
            <w:tcBorders>
              <w:top w:val="single" w:sz="4" w:space="0" w:color="auto"/>
              <w:bottom w:val="double" w:sz="4" w:space="0" w:color="auto"/>
            </w:tcBorders>
          </w:tcPr>
          <w:p w14:paraId="6BD7C911" w14:textId="640EABD8"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A2FDD">
              <w:rPr>
                <w:snapToGrid w:val="0"/>
                <w:color w:val="000000"/>
                <w:sz w:val="19"/>
                <w:szCs w:val="19"/>
              </w:rPr>
              <w:t>26,335</w:t>
            </w:r>
          </w:p>
        </w:tc>
        <w:tc>
          <w:tcPr>
            <w:tcW w:w="1440" w:type="dxa"/>
            <w:tcBorders>
              <w:top w:val="single" w:sz="4" w:space="0" w:color="auto"/>
              <w:bottom w:val="double" w:sz="4" w:space="0" w:color="auto"/>
            </w:tcBorders>
          </w:tcPr>
          <w:p w14:paraId="50498D08" w14:textId="577CA67A" w:rsidR="00B61092" w:rsidRPr="00487CAB"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9A2FDD">
              <w:rPr>
                <w:snapToGrid w:val="0"/>
                <w:color w:val="000000"/>
                <w:sz w:val="19"/>
                <w:szCs w:val="19"/>
              </w:rPr>
              <w:t>104,767,918</w:t>
            </w:r>
          </w:p>
        </w:tc>
        <w:tc>
          <w:tcPr>
            <w:tcW w:w="1350" w:type="dxa"/>
            <w:tcBorders>
              <w:top w:val="single" w:sz="4" w:space="0" w:color="auto"/>
              <w:bottom w:val="double" w:sz="4" w:space="0" w:color="auto"/>
            </w:tcBorders>
          </w:tcPr>
          <w:p w14:paraId="30B44F7D" w14:textId="6267107E" w:rsidR="00B61092" w:rsidRPr="00487CAB" w:rsidRDefault="00B61092" w:rsidP="00B55AAE">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054F5F">
              <w:rPr>
                <w:snapToGrid w:val="0"/>
                <w:color w:val="000000"/>
                <w:sz w:val="19"/>
                <w:szCs w:val="19"/>
              </w:rPr>
              <w:t>(7</w:t>
            </w:r>
            <w:r w:rsidR="00D12423">
              <w:rPr>
                <w:snapToGrid w:val="0"/>
                <w:color w:val="000000"/>
                <w:sz w:val="19"/>
                <w:szCs w:val="19"/>
              </w:rPr>
              <w:t>3,01</w:t>
            </w:r>
            <w:r w:rsidR="00054F5F">
              <w:rPr>
                <w:snapToGrid w:val="0"/>
                <w:color w:val="000000"/>
                <w:sz w:val="19"/>
                <w:szCs w:val="19"/>
              </w:rPr>
              <w:t>3,214)</w:t>
            </w:r>
          </w:p>
        </w:tc>
        <w:tc>
          <w:tcPr>
            <w:tcW w:w="1800" w:type="dxa"/>
            <w:tcBorders>
              <w:top w:val="single" w:sz="4" w:space="0" w:color="auto"/>
              <w:bottom w:val="double" w:sz="4" w:space="0" w:color="auto"/>
            </w:tcBorders>
          </w:tcPr>
          <w:p w14:paraId="105A3140" w14:textId="26F0A504" w:rsidR="00B61092" w:rsidRPr="00487CAB" w:rsidRDefault="00B61092" w:rsidP="00B55AAE">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054F5F">
              <w:rPr>
                <w:snapToGrid w:val="0"/>
                <w:color w:val="000000"/>
                <w:sz w:val="19"/>
                <w:szCs w:val="19"/>
              </w:rPr>
              <w:t>31,</w:t>
            </w:r>
            <w:r w:rsidR="00142598">
              <w:rPr>
                <w:snapToGrid w:val="0"/>
                <w:color w:val="000000"/>
                <w:sz w:val="19"/>
                <w:szCs w:val="19"/>
              </w:rPr>
              <w:t>781</w:t>
            </w:r>
            <w:r w:rsidR="00054F5F">
              <w:rPr>
                <w:snapToGrid w:val="0"/>
                <w:color w:val="000000"/>
                <w:sz w:val="19"/>
                <w:szCs w:val="19"/>
              </w:rPr>
              <w:t>,039</w:t>
            </w:r>
          </w:p>
        </w:tc>
      </w:tr>
      <w:tr w:rsidR="00B158D9" w:rsidRPr="00487CAB" w14:paraId="46792299" w14:textId="77777777" w:rsidTr="00F038AE">
        <w:tc>
          <w:tcPr>
            <w:tcW w:w="4410" w:type="dxa"/>
          </w:tcPr>
          <w:p w14:paraId="12A7605D" w14:textId="77777777" w:rsidR="00B158D9" w:rsidRPr="00487CAB" w:rsidRDefault="00B158D9" w:rsidP="00F038AE">
            <w:pPr>
              <w:tabs>
                <w:tab w:val="left" w:pos="144"/>
                <w:tab w:val="left" w:pos="324"/>
                <w:tab w:val="right" w:pos="9180"/>
              </w:tabs>
              <w:rPr>
                <w:snapToGrid w:val="0"/>
                <w:color w:val="000000"/>
                <w:sz w:val="19"/>
                <w:szCs w:val="19"/>
              </w:rPr>
            </w:pPr>
          </w:p>
        </w:tc>
        <w:tc>
          <w:tcPr>
            <w:tcW w:w="1170" w:type="dxa"/>
          </w:tcPr>
          <w:p w14:paraId="3A288D4D" w14:textId="77777777" w:rsidR="00B158D9" w:rsidRPr="00487CAB" w:rsidRDefault="00B158D9" w:rsidP="00F038AE">
            <w:pPr>
              <w:tabs>
                <w:tab w:val="decimal" w:pos="917"/>
                <w:tab w:val="left" w:pos="2340"/>
                <w:tab w:val="right" w:pos="9180"/>
              </w:tabs>
              <w:rPr>
                <w:snapToGrid w:val="0"/>
                <w:color w:val="000000"/>
                <w:sz w:val="19"/>
                <w:szCs w:val="19"/>
              </w:rPr>
            </w:pPr>
          </w:p>
        </w:tc>
        <w:tc>
          <w:tcPr>
            <w:tcW w:w="1170" w:type="dxa"/>
          </w:tcPr>
          <w:p w14:paraId="40C1A1AF" w14:textId="77777777" w:rsidR="00B158D9" w:rsidRPr="00487CAB" w:rsidRDefault="00B158D9" w:rsidP="00F038AE">
            <w:pPr>
              <w:tabs>
                <w:tab w:val="decimal" w:pos="798"/>
                <w:tab w:val="left" w:pos="2340"/>
                <w:tab w:val="right" w:pos="9180"/>
              </w:tabs>
              <w:rPr>
                <w:snapToGrid w:val="0"/>
                <w:color w:val="000000"/>
                <w:sz w:val="19"/>
                <w:szCs w:val="19"/>
              </w:rPr>
            </w:pPr>
          </w:p>
        </w:tc>
        <w:tc>
          <w:tcPr>
            <w:tcW w:w="1080" w:type="dxa"/>
          </w:tcPr>
          <w:p w14:paraId="5F6480D4"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170" w:type="dxa"/>
          </w:tcPr>
          <w:p w14:paraId="2DAF1F15"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440" w:type="dxa"/>
          </w:tcPr>
          <w:p w14:paraId="324828D8" w14:textId="77777777" w:rsidR="00B158D9" w:rsidRPr="00487CAB" w:rsidRDefault="00B158D9" w:rsidP="00F038AE">
            <w:pPr>
              <w:tabs>
                <w:tab w:val="decimal" w:pos="1148"/>
                <w:tab w:val="decimal" w:pos="1422"/>
                <w:tab w:val="left" w:pos="2340"/>
                <w:tab w:val="right" w:pos="9180"/>
              </w:tabs>
              <w:rPr>
                <w:snapToGrid w:val="0"/>
                <w:color w:val="000000"/>
                <w:sz w:val="19"/>
                <w:szCs w:val="19"/>
              </w:rPr>
            </w:pPr>
          </w:p>
        </w:tc>
        <w:tc>
          <w:tcPr>
            <w:tcW w:w="1350" w:type="dxa"/>
          </w:tcPr>
          <w:p w14:paraId="1553B37F" w14:textId="77777777" w:rsidR="00B158D9" w:rsidRPr="00487CAB" w:rsidRDefault="00B158D9" w:rsidP="00F038AE">
            <w:pPr>
              <w:tabs>
                <w:tab w:val="decimal" w:pos="1150"/>
                <w:tab w:val="left" w:pos="2340"/>
                <w:tab w:val="right" w:pos="9180"/>
              </w:tabs>
              <w:rPr>
                <w:snapToGrid w:val="0"/>
                <w:color w:val="000000"/>
                <w:sz w:val="19"/>
                <w:szCs w:val="19"/>
              </w:rPr>
            </w:pPr>
          </w:p>
        </w:tc>
        <w:tc>
          <w:tcPr>
            <w:tcW w:w="1800" w:type="dxa"/>
          </w:tcPr>
          <w:p w14:paraId="4719DE7C" w14:textId="77777777" w:rsidR="00B158D9" w:rsidRPr="00487CAB" w:rsidRDefault="00B158D9" w:rsidP="00F038AE">
            <w:pPr>
              <w:tabs>
                <w:tab w:val="decimal" w:pos="1418"/>
                <w:tab w:val="right" w:pos="9180"/>
              </w:tabs>
              <w:rPr>
                <w:snapToGrid w:val="0"/>
                <w:color w:val="000000"/>
                <w:sz w:val="19"/>
                <w:szCs w:val="19"/>
              </w:rPr>
            </w:pPr>
          </w:p>
        </w:tc>
      </w:tr>
      <w:bookmarkEnd w:id="10"/>
    </w:tbl>
    <w:p w14:paraId="06FCDFDD" w14:textId="750E5F79" w:rsidR="004F479E" w:rsidRDefault="004F479E" w:rsidP="00487CAB">
      <w:pPr>
        <w:tabs>
          <w:tab w:val="decimal" w:pos="1152"/>
          <w:tab w:val="left" w:pos="2340"/>
          <w:tab w:val="right" w:pos="9180"/>
        </w:tabs>
        <w:rPr>
          <w:snapToGrid w:val="0"/>
          <w:color w:val="000000"/>
        </w:rPr>
      </w:pPr>
    </w:p>
    <w:p w14:paraId="43719486" w14:textId="775BC459" w:rsidR="00340889" w:rsidRDefault="00340889" w:rsidP="00487CAB">
      <w:pPr>
        <w:tabs>
          <w:tab w:val="decimal" w:pos="1152"/>
          <w:tab w:val="left" w:pos="2340"/>
          <w:tab w:val="right" w:pos="9180"/>
        </w:tabs>
        <w:rPr>
          <w:snapToGrid w:val="0"/>
          <w:color w:val="000000"/>
        </w:rPr>
      </w:pPr>
    </w:p>
    <w:p w14:paraId="16888B36" w14:textId="666B5644" w:rsidR="00340889" w:rsidRDefault="00340889">
      <w:pPr>
        <w:rPr>
          <w:snapToGrid w:val="0"/>
          <w:color w:val="000000"/>
        </w:rPr>
      </w:pPr>
      <w:r>
        <w:rPr>
          <w:snapToGrid w:val="0"/>
          <w:color w:val="000000"/>
        </w:rPr>
        <w:br w:type="page"/>
      </w:r>
    </w:p>
    <w:p w14:paraId="6B7D6D20" w14:textId="77777777" w:rsidR="00B61092" w:rsidRPr="00487CAB" w:rsidRDefault="00B61092" w:rsidP="00B61092">
      <w:pPr>
        <w:jc w:val="center"/>
        <w:rPr>
          <w:b/>
        </w:rPr>
      </w:pPr>
      <w:r w:rsidRPr="00487CAB">
        <w:rPr>
          <w:b/>
        </w:rPr>
        <w:lastRenderedPageBreak/>
        <w:t>GEOVAX LABS, INC.</w:t>
      </w:r>
    </w:p>
    <w:p w14:paraId="45D05AB6" w14:textId="77777777" w:rsidR="00B61092" w:rsidRPr="00487CAB" w:rsidRDefault="00B61092" w:rsidP="00B61092">
      <w:pPr>
        <w:jc w:val="center"/>
        <w:rPr>
          <w:b/>
        </w:rPr>
      </w:pPr>
      <w:r w:rsidRPr="00487CAB">
        <w:rPr>
          <w:b/>
        </w:rPr>
        <w:t>CONDENSED CONSOLIDATED STATEMENTS OF CHANGES IN STOCKHOLDERS’ EQUITY</w:t>
      </w:r>
    </w:p>
    <w:p w14:paraId="6534DC25" w14:textId="77777777" w:rsidR="00B61092" w:rsidRPr="00487CAB" w:rsidRDefault="00B61092" w:rsidP="00B61092">
      <w:pPr>
        <w:jc w:val="center"/>
        <w:rPr>
          <w:b/>
        </w:rPr>
      </w:pPr>
      <w:r w:rsidRPr="00487CAB">
        <w:rPr>
          <w:b/>
        </w:rPr>
        <w:t>(Unaudited)</w:t>
      </w:r>
    </w:p>
    <w:p w14:paraId="01A5C2DE" w14:textId="4F315DE5" w:rsidR="00B61092" w:rsidRDefault="00B61092" w:rsidP="00487CAB">
      <w:pPr>
        <w:tabs>
          <w:tab w:val="decimal" w:pos="1152"/>
          <w:tab w:val="left" w:pos="2340"/>
          <w:tab w:val="right" w:pos="9180"/>
        </w:tabs>
        <w:rPr>
          <w:snapToGrid w:val="0"/>
          <w:color w:val="000000"/>
        </w:rPr>
      </w:pPr>
    </w:p>
    <w:p w14:paraId="33EBEA38" w14:textId="77777777" w:rsidR="00B61092" w:rsidRDefault="00B61092" w:rsidP="00487CAB">
      <w:pPr>
        <w:tabs>
          <w:tab w:val="decimal" w:pos="1152"/>
          <w:tab w:val="left" w:pos="2340"/>
          <w:tab w:val="right" w:pos="9180"/>
        </w:tabs>
        <w:rPr>
          <w:snapToGrid w:val="0"/>
          <w:color w:val="000000"/>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34086E" w:rsidRPr="00487CAB" w14:paraId="7EDA1FC4" w14:textId="77777777" w:rsidTr="001B1FEA">
        <w:tc>
          <w:tcPr>
            <w:tcW w:w="4410" w:type="dxa"/>
          </w:tcPr>
          <w:p w14:paraId="2E4EBCF1" w14:textId="77777777" w:rsidR="0034086E" w:rsidRPr="00487CAB" w:rsidRDefault="0034086E" w:rsidP="001B1FEA">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1DB333E2" w14:textId="47CDC1EA" w:rsidR="0034086E" w:rsidRPr="00487CAB" w:rsidRDefault="0034086E" w:rsidP="001B1FEA">
            <w:pPr>
              <w:tabs>
                <w:tab w:val="right" w:pos="9180"/>
              </w:tabs>
              <w:jc w:val="center"/>
              <w:rPr>
                <w:snapToGrid w:val="0"/>
                <w:color w:val="000000"/>
                <w:sz w:val="19"/>
                <w:szCs w:val="19"/>
              </w:rPr>
            </w:pPr>
            <w:r>
              <w:rPr>
                <w:snapToGrid w:val="0"/>
                <w:color w:val="000000"/>
                <w:sz w:val="19"/>
                <w:szCs w:val="19"/>
              </w:rPr>
              <w:t xml:space="preserve">Three-Month and </w:t>
            </w:r>
            <w:r w:rsidR="00340889">
              <w:rPr>
                <w:snapToGrid w:val="0"/>
                <w:color w:val="000000"/>
                <w:sz w:val="19"/>
                <w:szCs w:val="19"/>
              </w:rPr>
              <w:t>Nine</w:t>
            </w:r>
            <w:r>
              <w:rPr>
                <w:snapToGrid w:val="0"/>
                <w:color w:val="000000"/>
                <w:sz w:val="19"/>
                <w:szCs w:val="19"/>
              </w:rPr>
              <w:t xml:space="preserve">-Month Periods Ended </w:t>
            </w:r>
            <w:r w:rsidR="00340889">
              <w:rPr>
                <w:snapToGrid w:val="0"/>
                <w:color w:val="000000"/>
                <w:sz w:val="19"/>
                <w:szCs w:val="19"/>
              </w:rPr>
              <w:t>September</w:t>
            </w:r>
            <w:r>
              <w:rPr>
                <w:snapToGrid w:val="0"/>
                <w:color w:val="000000"/>
                <w:sz w:val="19"/>
                <w:szCs w:val="19"/>
              </w:rPr>
              <w:t xml:space="preserve"> 30, 2021</w:t>
            </w:r>
          </w:p>
        </w:tc>
      </w:tr>
      <w:tr w:rsidR="0034086E" w:rsidRPr="00487CAB" w14:paraId="4A67A646" w14:textId="77777777" w:rsidTr="001B1FEA">
        <w:tc>
          <w:tcPr>
            <w:tcW w:w="4410" w:type="dxa"/>
          </w:tcPr>
          <w:p w14:paraId="1101AB06" w14:textId="77777777" w:rsidR="0034086E" w:rsidRPr="00487CAB" w:rsidRDefault="0034086E" w:rsidP="001B1FEA">
            <w:pPr>
              <w:tabs>
                <w:tab w:val="left" w:pos="144"/>
                <w:tab w:val="left" w:pos="324"/>
                <w:tab w:val="right" w:pos="9180"/>
              </w:tabs>
              <w:rPr>
                <w:snapToGrid w:val="0"/>
                <w:color w:val="000000"/>
                <w:sz w:val="19"/>
                <w:szCs w:val="19"/>
              </w:rPr>
            </w:pPr>
          </w:p>
        </w:tc>
        <w:tc>
          <w:tcPr>
            <w:tcW w:w="2340" w:type="dxa"/>
            <w:gridSpan w:val="2"/>
          </w:tcPr>
          <w:p w14:paraId="080AD2BC" w14:textId="77777777" w:rsidR="0034086E" w:rsidRPr="00487CAB" w:rsidRDefault="0034086E" w:rsidP="001B1FEA">
            <w:pPr>
              <w:tabs>
                <w:tab w:val="left" w:pos="2340"/>
                <w:tab w:val="right" w:pos="9180"/>
              </w:tabs>
              <w:jc w:val="center"/>
              <w:rPr>
                <w:snapToGrid w:val="0"/>
                <w:color w:val="000000"/>
                <w:sz w:val="19"/>
                <w:szCs w:val="19"/>
              </w:rPr>
            </w:pPr>
          </w:p>
        </w:tc>
        <w:tc>
          <w:tcPr>
            <w:tcW w:w="1080" w:type="dxa"/>
          </w:tcPr>
          <w:p w14:paraId="224329B3" w14:textId="77777777" w:rsidR="0034086E" w:rsidRPr="00487CAB" w:rsidRDefault="0034086E" w:rsidP="001B1FEA">
            <w:pPr>
              <w:tabs>
                <w:tab w:val="decimal" w:pos="1148"/>
                <w:tab w:val="right" w:pos="9180"/>
              </w:tabs>
              <w:jc w:val="center"/>
              <w:rPr>
                <w:snapToGrid w:val="0"/>
                <w:color w:val="000000"/>
                <w:sz w:val="19"/>
                <w:szCs w:val="19"/>
              </w:rPr>
            </w:pPr>
          </w:p>
        </w:tc>
        <w:tc>
          <w:tcPr>
            <w:tcW w:w="1170" w:type="dxa"/>
          </w:tcPr>
          <w:p w14:paraId="05A382BC" w14:textId="77777777" w:rsidR="0034086E" w:rsidRPr="00487CAB" w:rsidRDefault="0034086E" w:rsidP="001B1FEA">
            <w:pPr>
              <w:tabs>
                <w:tab w:val="decimal" w:pos="1148"/>
                <w:tab w:val="right" w:pos="9180"/>
              </w:tabs>
              <w:jc w:val="center"/>
              <w:rPr>
                <w:snapToGrid w:val="0"/>
                <w:color w:val="000000"/>
                <w:sz w:val="19"/>
                <w:szCs w:val="19"/>
              </w:rPr>
            </w:pPr>
          </w:p>
        </w:tc>
        <w:tc>
          <w:tcPr>
            <w:tcW w:w="1440" w:type="dxa"/>
          </w:tcPr>
          <w:p w14:paraId="6CDB1D71" w14:textId="77777777" w:rsidR="0034086E" w:rsidRPr="00487CAB" w:rsidRDefault="0034086E" w:rsidP="001B1FEA">
            <w:pPr>
              <w:tabs>
                <w:tab w:val="decimal" w:pos="1148"/>
                <w:tab w:val="right" w:pos="9180"/>
              </w:tabs>
              <w:jc w:val="center"/>
              <w:rPr>
                <w:snapToGrid w:val="0"/>
                <w:color w:val="000000"/>
                <w:sz w:val="19"/>
                <w:szCs w:val="19"/>
              </w:rPr>
            </w:pPr>
          </w:p>
        </w:tc>
        <w:tc>
          <w:tcPr>
            <w:tcW w:w="1350" w:type="dxa"/>
          </w:tcPr>
          <w:p w14:paraId="2D056C44" w14:textId="77777777" w:rsidR="0034086E" w:rsidRPr="00487CAB" w:rsidRDefault="0034086E" w:rsidP="001B1FEA">
            <w:pPr>
              <w:tabs>
                <w:tab w:val="right" w:pos="9180"/>
              </w:tabs>
              <w:jc w:val="center"/>
              <w:rPr>
                <w:snapToGrid w:val="0"/>
                <w:color w:val="000000"/>
                <w:sz w:val="19"/>
                <w:szCs w:val="19"/>
              </w:rPr>
            </w:pPr>
          </w:p>
        </w:tc>
        <w:tc>
          <w:tcPr>
            <w:tcW w:w="1800" w:type="dxa"/>
          </w:tcPr>
          <w:p w14:paraId="44173C0D" w14:textId="77777777" w:rsidR="0034086E" w:rsidRPr="00487CAB" w:rsidRDefault="0034086E" w:rsidP="001B1FEA">
            <w:pPr>
              <w:tabs>
                <w:tab w:val="right" w:pos="9180"/>
              </w:tabs>
              <w:jc w:val="center"/>
              <w:rPr>
                <w:snapToGrid w:val="0"/>
                <w:color w:val="000000"/>
                <w:sz w:val="19"/>
                <w:szCs w:val="19"/>
              </w:rPr>
            </w:pPr>
            <w:r>
              <w:rPr>
                <w:snapToGrid w:val="0"/>
                <w:color w:val="000000"/>
                <w:sz w:val="19"/>
                <w:szCs w:val="19"/>
              </w:rPr>
              <w:t>Total</w:t>
            </w:r>
          </w:p>
        </w:tc>
      </w:tr>
      <w:tr w:rsidR="0034086E" w:rsidRPr="00487CAB" w14:paraId="6CB8BE25" w14:textId="77777777" w:rsidTr="001B1FEA">
        <w:tc>
          <w:tcPr>
            <w:tcW w:w="4410" w:type="dxa"/>
          </w:tcPr>
          <w:p w14:paraId="0562A652" w14:textId="77777777" w:rsidR="0034086E" w:rsidRPr="00487CAB" w:rsidRDefault="0034086E" w:rsidP="001B1FEA">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349357EE"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13A10B86"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443C0CA"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5647C632" w14:textId="77777777" w:rsidR="0034086E" w:rsidRPr="00487CAB" w:rsidRDefault="0034086E" w:rsidP="001B1FEA">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1A8B4A9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34086E" w:rsidRPr="00487CAB" w14:paraId="166FED83" w14:textId="77777777" w:rsidTr="001B1FEA">
        <w:tc>
          <w:tcPr>
            <w:tcW w:w="4410" w:type="dxa"/>
          </w:tcPr>
          <w:p w14:paraId="06637BFE" w14:textId="77777777" w:rsidR="0034086E" w:rsidRPr="00487CAB" w:rsidRDefault="0034086E" w:rsidP="001B1FEA">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31987E2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22BEDC4"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2A4D4502"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15D182B"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B751D8A" w14:textId="77777777" w:rsidR="0034086E" w:rsidRPr="00487CAB" w:rsidRDefault="0034086E" w:rsidP="001B1FEA">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76FAEA9B" w14:textId="77777777" w:rsidR="0034086E" w:rsidRPr="00487CAB" w:rsidRDefault="0034086E" w:rsidP="001B1FEA">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13073459" w14:textId="77777777" w:rsidR="0034086E" w:rsidRPr="00487CAB" w:rsidRDefault="0034086E" w:rsidP="001B1FEA">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34086E" w:rsidRPr="00487CAB" w14:paraId="32AE28D9" w14:textId="77777777" w:rsidTr="001B1FEA">
        <w:tc>
          <w:tcPr>
            <w:tcW w:w="4410" w:type="dxa"/>
          </w:tcPr>
          <w:p w14:paraId="5EF77063"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Balance at December 31, 20</w:t>
            </w:r>
            <w:r>
              <w:rPr>
                <w:snapToGrid w:val="0"/>
                <w:color w:val="000000"/>
                <w:sz w:val="19"/>
                <w:szCs w:val="19"/>
              </w:rPr>
              <w:t>20</w:t>
            </w:r>
          </w:p>
        </w:tc>
        <w:tc>
          <w:tcPr>
            <w:tcW w:w="1170" w:type="dxa"/>
          </w:tcPr>
          <w:p w14:paraId="559F6FD6"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609257D5"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Pr>
          <w:p w14:paraId="6940603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3,834,095</w:t>
            </w:r>
          </w:p>
        </w:tc>
        <w:tc>
          <w:tcPr>
            <w:tcW w:w="1170" w:type="dxa"/>
          </w:tcPr>
          <w:p w14:paraId="65B81603"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3,834</w:t>
            </w:r>
          </w:p>
        </w:tc>
        <w:tc>
          <w:tcPr>
            <w:tcW w:w="1440" w:type="dxa"/>
          </w:tcPr>
          <w:p w14:paraId="623170D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55,294,504</w:t>
            </w:r>
          </w:p>
        </w:tc>
        <w:tc>
          <w:tcPr>
            <w:tcW w:w="1350" w:type="dxa"/>
          </w:tcPr>
          <w:p w14:paraId="1DC2DCB2"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45,805,581</w:t>
            </w:r>
            <w:r w:rsidRPr="00487CAB">
              <w:rPr>
                <w:snapToGrid w:val="0"/>
                <w:color w:val="000000"/>
                <w:sz w:val="19"/>
                <w:szCs w:val="19"/>
              </w:rPr>
              <w:t>)</w:t>
            </w:r>
          </w:p>
        </w:tc>
        <w:tc>
          <w:tcPr>
            <w:tcW w:w="1800" w:type="dxa"/>
          </w:tcPr>
          <w:p w14:paraId="5799646A"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9,568,852</w:t>
            </w:r>
          </w:p>
        </w:tc>
      </w:tr>
      <w:tr w:rsidR="0034086E" w:rsidRPr="00487CAB" w14:paraId="248C9A80" w14:textId="77777777" w:rsidTr="001B1FEA">
        <w:tc>
          <w:tcPr>
            <w:tcW w:w="4410" w:type="dxa"/>
          </w:tcPr>
          <w:p w14:paraId="5E61EDB6" w14:textId="77777777" w:rsidR="0034086E" w:rsidRPr="00487CAB" w:rsidRDefault="0034086E" w:rsidP="001B1FEA">
            <w:pPr>
              <w:tabs>
                <w:tab w:val="left" w:pos="144"/>
                <w:tab w:val="left" w:pos="324"/>
                <w:tab w:val="right" w:pos="9180"/>
              </w:tabs>
              <w:rPr>
                <w:snapToGrid w:val="0"/>
                <w:color w:val="000000"/>
                <w:sz w:val="19"/>
                <w:szCs w:val="19"/>
              </w:rPr>
            </w:pPr>
            <w:bookmarkStart w:id="14" w:name="_Hlk75512229"/>
            <w:r w:rsidRPr="00487CAB">
              <w:rPr>
                <w:snapToGrid w:val="0"/>
                <w:color w:val="000000"/>
                <w:sz w:val="19"/>
                <w:szCs w:val="19"/>
              </w:rPr>
              <w:tab/>
              <w:t xml:space="preserve">Sale of </w:t>
            </w:r>
            <w:r>
              <w:rPr>
                <w:snapToGrid w:val="0"/>
                <w:color w:val="000000"/>
                <w:sz w:val="19"/>
                <w:szCs w:val="19"/>
              </w:rPr>
              <w:t>common stock for cash</w:t>
            </w:r>
          </w:p>
        </w:tc>
        <w:tc>
          <w:tcPr>
            <w:tcW w:w="1170" w:type="dxa"/>
          </w:tcPr>
          <w:p w14:paraId="6DE959F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2C2E87A5"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1016901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1,644,000</w:t>
            </w:r>
          </w:p>
        </w:tc>
        <w:tc>
          <w:tcPr>
            <w:tcW w:w="1170" w:type="dxa"/>
          </w:tcPr>
          <w:p w14:paraId="4CA2C9A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w:t>
            </w:r>
          </w:p>
        </w:tc>
        <w:tc>
          <w:tcPr>
            <w:tcW w:w="1440" w:type="dxa"/>
          </w:tcPr>
          <w:p w14:paraId="1C1FCD56"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9,407,276</w:t>
            </w:r>
          </w:p>
        </w:tc>
        <w:tc>
          <w:tcPr>
            <w:tcW w:w="1350" w:type="dxa"/>
          </w:tcPr>
          <w:p w14:paraId="0B152DC5"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468983A8"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9,408,920</w:t>
            </w:r>
          </w:p>
        </w:tc>
      </w:tr>
      <w:tr w:rsidR="0034086E" w:rsidRPr="00487CAB" w14:paraId="11023160" w14:textId="77777777" w:rsidTr="001B1FEA">
        <w:tc>
          <w:tcPr>
            <w:tcW w:w="4410" w:type="dxa"/>
          </w:tcPr>
          <w:p w14:paraId="410FEB81" w14:textId="77777777" w:rsidR="0034086E" w:rsidRPr="008D0F89"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upon warrant exercise</w:t>
            </w:r>
          </w:p>
        </w:tc>
        <w:tc>
          <w:tcPr>
            <w:tcW w:w="1170" w:type="dxa"/>
          </w:tcPr>
          <w:p w14:paraId="1ACA86E3" w14:textId="77777777" w:rsidR="0034086E" w:rsidRPr="008D0F89" w:rsidRDefault="0034086E" w:rsidP="001B1FEA">
            <w:pPr>
              <w:tabs>
                <w:tab w:val="decimal" w:pos="917"/>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170" w:type="dxa"/>
          </w:tcPr>
          <w:p w14:paraId="66A56FD4" w14:textId="77777777" w:rsidR="0034086E" w:rsidRPr="008D0F89" w:rsidRDefault="0034086E" w:rsidP="001B1FEA">
            <w:pPr>
              <w:tabs>
                <w:tab w:val="decimal" w:pos="798"/>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080" w:type="dxa"/>
          </w:tcPr>
          <w:p w14:paraId="73C00F26"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835,900</w:t>
            </w:r>
          </w:p>
        </w:tc>
        <w:tc>
          <w:tcPr>
            <w:tcW w:w="1170" w:type="dxa"/>
          </w:tcPr>
          <w:p w14:paraId="2A121DAA"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836</w:t>
            </w:r>
          </w:p>
        </w:tc>
        <w:tc>
          <w:tcPr>
            <w:tcW w:w="1440" w:type="dxa"/>
          </w:tcPr>
          <w:p w14:paraId="1408DC26" w14:textId="77777777" w:rsidR="0034086E" w:rsidRPr="008D0F89" w:rsidRDefault="0034086E" w:rsidP="001B1FEA">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3,173,320</w:t>
            </w:r>
          </w:p>
        </w:tc>
        <w:tc>
          <w:tcPr>
            <w:tcW w:w="1350" w:type="dxa"/>
          </w:tcPr>
          <w:p w14:paraId="32F26C08" w14:textId="77777777" w:rsidR="0034086E" w:rsidRPr="008D0F89" w:rsidRDefault="0034086E" w:rsidP="001B1FEA">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19273AA9" w14:textId="77777777" w:rsidR="0034086E" w:rsidRPr="00487CAB" w:rsidRDefault="0034086E" w:rsidP="001B1FEA">
            <w:pPr>
              <w:tabs>
                <w:tab w:val="decimal" w:pos="1418"/>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3,174,156</w:t>
            </w:r>
          </w:p>
        </w:tc>
      </w:tr>
      <w:tr w:rsidR="0034086E" w:rsidRPr="00487CAB" w14:paraId="62032EAC" w14:textId="77777777" w:rsidTr="001B1FEA">
        <w:tc>
          <w:tcPr>
            <w:tcW w:w="4410" w:type="dxa"/>
          </w:tcPr>
          <w:p w14:paraId="1C2CEA66" w14:textId="77777777" w:rsidR="0034086E" w:rsidRPr="00487CAB" w:rsidRDefault="0034086E" w:rsidP="001B1FEA">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0228F937" w14:textId="77777777" w:rsidR="0034086E" w:rsidRPr="00487CAB"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8ED6242" w14:textId="77777777" w:rsidR="0034086E" w:rsidRPr="00487CAB"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45DF6F6C"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1,472</w:t>
            </w:r>
          </w:p>
        </w:tc>
        <w:tc>
          <w:tcPr>
            <w:tcW w:w="1170" w:type="dxa"/>
          </w:tcPr>
          <w:p w14:paraId="27C24CF1"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640E70B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5,999</w:t>
            </w:r>
          </w:p>
        </w:tc>
        <w:tc>
          <w:tcPr>
            <w:tcW w:w="1350" w:type="dxa"/>
          </w:tcPr>
          <w:p w14:paraId="190650E1" w14:textId="77777777" w:rsidR="0034086E" w:rsidRPr="00487CAB" w:rsidRDefault="0034086E"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2599704" w14:textId="77777777" w:rsidR="0034086E" w:rsidRPr="00487CAB" w:rsidRDefault="0034086E" w:rsidP="001B1FEA">
            <w:pPr>
              <w:tabs>
                <w:tab w:val="decimal" w:pos="1418"/>
                <w:tab w:val="right" w:pos="9180"/>
              </w:tabs>
              <w:rPr>
                <w:snapToGrid w:val="0"/>
                <w:color w:val="000000"/>
                <w:sz w:val="19"/>
                <w:szCs w:val="19"/>
              </w:rPr>
            </w:pPr>
            <w:r>
              <w:rPr>
                <w:snapToGrid w:val="0"/>
                <w:color w:val="000000"/>
                <w:sz w:val="19"/>
                <w:szCs w:val="19"/>
              </w:rPr>
              <w:tab/>
              <w:t>6,000</w:t>
            </w:r>
          </w:p>
        </w:tc>
      </w:tr>
      <w:tr w:rsidR="0034086E" w:rsidRPr="00487CAB" w14:paraId="5FB9243C" w14:textId="77777777" w:rsidTr="001B1FEA">
        <w:tc>
          <w:tcPr>
            <w:tcW w:w="4410" w:type="dxa"/>
          </w:tcPr>
          <w:p w14:paraId="2F225B7F" w14:textId="77777777" w:rsidR="0034086E" w:rsidRDefault="0034086E"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541CD6E6" w14:textId="77777777" w:rsidR="0034086E"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16D257F" w14:textId="77777777" w:rsidR="0034086E"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3446137"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15239FE"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A87BC42"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444E31FA" w14:textId="77777777" w:rsidR="0034086E" w:rsidRPr="00636549" w:rsidRDefault="0034086E" w:rsidP="001B1FEA">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06E0235C" w14:textId="77777777" w:rsidR="0034086E" w:rsidRDefault="0034086E" w:rsidP="001B1FEA">
            <w:pPr>
              <w:tabs>
                <w:tab w:val="decimal" w:pos="1418"/>
                <w:tab w:val="right" w:pos="9180"/>
              </w:tabs>
              <w:rPr>
                <w:snapToGrid w:val="0"/>
                <w:color w:val="000000"/>
                <w:sz w:val="19"/>
                <w:szCs w:val="19"/>
              </w:rPr>
            </w:pPr>
            <w:r>
              <w:rPr>
                <w:snapToGrid w:val="0"/>
                <w:color w:val="000000"/>
                <w:sz w:val="19"/>
                <w:szCs w:val="19"/>
              </w:rPr>
              <w:tab/>
              <w:t>56,190</w:t>
            </w:r>
          </w:p>
        </w:tc>
      </w:tr>
      <w:tr w:rsidR="0034086E" w:rsidRPr="00487CAB" w14:paraId="794D4C9E" w14:textId="77777777" w:rsidTr="001B1FEA">
        <w:tc>
          <w:tcPr>
            <w:tcW w:w="4410" w:type="dxa"/>
          </w:tcPr>
          <w:p w14:paraId="5CB00B41"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21</w:t>
            </w:r>
          </w:p>
        </w:tc>
        <w:tc>
          <w:tcPr>
            <w:tcW w:w="1170" w:type="dxa"/>
            <w:tcBorders>
              <w:bottom w:val="single" w:sz="4" w:space="0" w:color="auto"/>
            </w:tcBorders>
          </w:tcPr>
          <w:p w14:paraId="68ACA74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29B74B7"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0D9635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EC5497E"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41A1196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C593C58"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c>
          <w:tcPr>
            <w:tcW w:w="1800" w:type="dxa"/>
            <w:tcBorders>
              <w:bottom w:val="single" w:sz="4" w:space="0" w:color="auto"/>
            </w:tcBorders>
          </w:tcPr>
          <w:p w14:paraId="666CDC53"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r>
      <w:tr w:rsidR="0034086E" w:rsidRPr="00487CAB" w14:paraId="5ADC232A" w14:textId="77777777" w:rsidTr="001B1FEA">
        <w:tc>
          <w:tcPr>
            <w:tcW w:w="4410" w:type="dxa"/>
          </w:tcPr>
          <w:p w14:paraId="25813BE4" w14:textId="77777777" w:rsidR="0034086E" w:rsidRPr="00487CAB" w:rsidRDefault="0034086E" w:rsidP="001B1FEA">
            <w:pPr>
              <w:tabs>
                <w:tab w:val="left" w:pos="144"/>
                <w:tab w:val="left" w:pos="324"/>
                <w:tab w:val="right" w:pos="9180"/>
              </w:tabs>
              <w:rPr>
                <w:snapToGrid w:val="0"/>
                <w:color w:val="000000"/>
                <w:sz w:val="19"/>
                <w:szCs w:val="19"/>
              </w:rPr>
            </w:pPr>
            <w:bookmarkStart w:id="15" w:name="_Hlk106976643"/>
            <w:r w:rsidRPr="00487CAB">
              <w:rPr>
                <w:snapToGrid w:val="0"/>
                <w:color w:val="000000"/>
                <w:sz w:val="19"/>
                <w:szCs w:val="19"/>
              </w:rPr>
              <w:t>Balance at March 31, 20</w:t>
            </w:r>
            <w:r>
              <w:rPr>
                <w:snapToGrid w:val="0"/>
                <w:color w:val="000000"/>
                <w:sz w:val="19"/>
                <w:szCs w:val="19"/>
              </w:rPr>
              <w:t>21</w:t>
            </w:r>
          </w:p>
        </w:tc>
        <w:tc>
          <w:tcPr>
            <w:tcW w:w="1170" w:type="dxa"/>
            <w:tcBorders>
              <w:top w:val="single" w:sz="4" w:space="0" w:color="auto"/>
            </w:tcBorders>
          </w:tcPr>
          <w:p w14:paraId="69E36248"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Borders>
              <w:top w:val="single" w:sz="4" w:space="0" w:color="auto"/>
            </w:tcBorders>
          </w:tcPr>
          <w:p w14:paraId="533E56CC"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Borders>
              <w:top w:val="single" w:sz="4" w:space="0" w:color="auto"/>
            </w:tcBorders>
          </w:tcPr>
          <w:p w14:paraId="1994A681"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6,315,467</w:t>
            </w:r>
          </w:p>
        </w:tc>
        <w:tc>
          <w:tcPr>
            <w:tcW w:w="1170" w:type="dxa"/>
            <w:tcBorders>
              <w:top w:val="single" w:sz="4" w:space="0" w:color="auto"/>
            </w:tcBorders>
          </w:tcPr>
          <w:p w14:paraId="76C466E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w:t>
            </w:r>
          </w:p>
        </w:tc>
        <w:tc>
          <w:tcPr>
            <w:tcW w:w="1440" w:type="dxa"/>
            <w:tcBorders>
              <w:top w:val="single" w:sz="4" w:space="0" w:color="auto"/>
            </w:tcBorders>
          </w:tcPr>
          <w:p w14:paraId="67AC5CB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67,937,289</w:t>
            </w:r>
          </w:p>
        </w:tc>
        <w:tc>
          <w:tcPr>
            <w:tcW w:w="1350" w:type="dxa"/>
            <w:tcBorders>
              <w:top w:val="single" w:sz="4" w:space="0" w:color="auto"/>
            </w:tcBorders>
          </w:tcPr>
          <w:p w14:paraId="5A6CFC18"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(47,368,359)</w:t>
            </w:r>
          </w:p>
        </w:tc>
        <w:tc>
          <w:tcPr>
            <w:tcW w:w="1800" w:type="dxa"/>
            <w:tcBorders>
              <w:top w:val="single" w:sz="4" w:space="0" w:color="auto"/>
            </w:tcBorders>
          </w:tcPr>
          <w:p w14:paraId="220FFFFC"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20,651,340</w:t>
            </w:r>
          </w:p>
        </w:tc>
      </w:tr>
      <w:tr w:rsidR="0034086E" w:rsidRPr="00487CAB" w14:paraId="4A8C0BAE" w14:textId="77777777" w:rsidTr="001B1FEA">
        <w:tc>
          <w:tcPr>
            <w:tcW w:w="4410" w:type="dxa"/>
          </w:tcPr>
          <w:p w14:paraId="4A3DDA13" w14:textId="77777777" w:rsidR="0034086E" w:rsidRPr="00487CAB" w:rsidRDefault="0034086E" w:rsidP="001B1FEA">
            <w:pPr>
              <w:tabs>
                <w:tab w:val="left" w:pos="144"/>
                <w:tab w:val="left" w:pos="324"/>
                <w:tab w:val="right" w:pos="9180"/>
              </w:tabs>
              <w:rPr>
                <w:snapToGrid w:val="0"/>
                <w:color w:val="000000"/>
                <w:sz w:val="19"/>
                <w:szCs w:val="19"/>
              </w:rPr>
            </w:pPr>
            <w:bookmarkStart w:id="16" w:name="_Hlk115191717"/>
            <w:bookmarkEnd w:id="14"/>
            <w:r w:rsidRPr="00487CAB">
              <w:rPr>
                <w:snapToGrid w:val="0"/>
                <w:color w:val="000000"/>
                <w:sz w:val="19"/>
                <w:szCs w:val="19"/>
              </w:rPr>
              <w:tab/>
            </w:r>
            <w:r>
              <w:rPr>
                <w:snapToGrid w:val="0"/>
                <w:color w:val="000000"/>
                <w:sz w:val="19"/>
                <w:szCs w:val="19"/>
              </w:rPr>
              <w:t>Repurchase of preferred stock</w:t>
            </w:r>
          </w:p>
        </w:tc>
        <w:tc>
          <w:tcPr>
            <w:tcW w:w="1170" w:type="dxa"/>
          </w:tcPr>
          <w:p w14:paraId="41E3E03F"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5E1EA674"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Pr>
          <w:p w14:paraId="58E49A9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50C572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557805AD"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75,095</w:t>
            </w:r>
          </w:p>
        </w:tc>
        <w:tc>
          <w:tcPr>
            <w:tcW w:w="1350" w:type="dxa"/>
          </w:tcPr>
          <w:p w14:paraId="787E9283"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2AC7B589"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(1,000)</w:t>
            </w:r>
          </w:p>
        </w:tc>
      </w:tr>
      <w:tr w:rsidR="0034086E" w:rsidRPr="00487CAB" w14:paraId="15291166" w14:textId="77777777" w:rsidTr="001B1FEA">
        <w:tc>
          <w:tcPr>
            <w:tcW w:w="4410" w:type="dxa"/>
          </w:tcPr>
          <w:p w14:paraId="79A8F3EA" w14:textId="77777777" w:rsidR="0034086E" w:rsidRPr="00487CAB" w:rsidRDefault="0034086E" w:rsidP="001B1FEA">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61A252D0" w14:textId="77777777" w:rsidR="0034086E" w:rsidRPr="00487CAB"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B4FEAAD" w14:textId="77777777" w:rsidR="0034086E" w:rsidRPr="00487CAB"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3EAC504"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12,235</w:t>
            </w:r>
          </w:p>
        </w:tc>
        <w:tc>
          <w:tcPr>
            <w:tcW w:w="1170" w:type="dxa"/>
          </w:tcPr>
          <w:p w14:paraId="5094FFF2"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13</w:t>
            </w:r>
          </w:p>
        </w:tc>
        <w:tc>
          <w:tcPr>
            <w:tcW w:w="1440" w:type="dxa"/>
          </w:tcPr>
          <w:p w14:paraId="7F2BCA6A"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65,828</w:t>
            </w:r>
          </w:p>
        </w:tc>
        <w:tc>
          <w:tcPr>
            <w:tcW w:w="1350" w:type="dxa"/>
          </w:tcPr>
          <w:p w14:paraId="4E014D1A" w14:textId="77777777" w:rsidR="0034086E" w:rsidRPr="00487CAB" w:rsidRDefault="0034086E" w:rsidP="001B1FEA">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2F7BD62" w14:textId="77777777" w:rsidR="0034086E" w:rsidRPr="00487CAB" w:rsidRDefault="0034086E" w:rsidP="001B1FEA">
            <w:pPr>
              <w:tabs>
                <w:tab w:val="decimal" w:pos="1418"/>
                <w:tab w:val="right" w:pos="9180"/>
              </w:tabs>
              <w:rPr>
                <w:snapToGrid w:val="0"/>
                <w:color w:val="000000"/>
                <w:sz w:val="19"/>
                <w:szCs w:val="19"/>
              </w:rPr>
            </w:pPr>
            <w:r>
              <w:rPr>
                <w:snapToGrid w:val="0"/>
                <w:color w:val="000000"/>
                <w:sz w:val="19"/>
                <w:szCs w:val="19"/>
              </w:rPr>
              <w:tab/>
              <w:t>65,841</w:t>
            </w:r>
          </w:p>
        </w:tc>
      </w:tr>
      <w:tr w:rsidR="0034086E" w:rsidRPr="00487CAB" w14:paraId="5C29B011" w14:textId="77777777" w:rsidTr="00340889">
        <w:tc>
          <w:tcPr>
            <w:tcW w:w="4410" w:type="dxa"/>
          </w:tcPr>
          <w:p w14:paraId="638D43C1" w14:textId="77777777" w:rsidR="0034086E" w:rsidRDefault="0034086E" w:rsidP="001B1FEA">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3D6D2AD1" w14:textId="77777777" w:rsidR="0034086E" w:rsidRDefault="0034086E" w:rsidP="001B1FEA">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0105664" w14:textId="77777777" w:rsidR="0034086E" w:rsidRDefault="0034086E" w:rsidP="001B1FEA">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DCEF23A"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72F61E0"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FCAC12A" w14:textId="77777777" w:rsidR="0034086E" w:rsidRDefault="0034086E" w:rsidP="001B1FEA">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0614C96" w14:textId="77777777" w:rsidR="0034086E" w:rsidRPr="00636549" w:rsidRDefault="0034086E" w:rsidP="001B1FEA">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3FC3F8B9" w14:textId="77777777" w:rsidR="0034086E" w:rsidRDefault="0034086E" w:rsidP="001B1FEA">
            <w:pPr>
              <w:tabs>
                <w:tab w:val="decimal" w:pos="1418"/>
                <w:tab w:val="right" w:pos="9180"/>
              </w:tabs>
              <w:rPr>
                <w:snapToGrid w:val="0"/>
                <w:color w:val="000000"/>
                <w:sz w:val="19"/>
                <w:szCs w:val="19"/>
              </w:rPr>
            </w:pPr>
            <w:r>
              <w:rPr>
                <w:snapToGrid w:val="0"/>
                <w:color w:val="000000"/>
                <w:sz w:val="19"/>
                <w:szCs w:val="19"/>
              </w:rPr>
              <w:tab/>
              <w:t>56,190</w:t>
            </w:r>
          </w:p>
        </w:tc>
      </w:tr>
      <w:tr w:rsidR="0034086E" w:rsidRPr="00487CAB" w14:paraId="1D107D64" w14:textId="77777777" w:rsidTr="00340889">
        <w:tc>
          <w:tcPr>
            <w:tcW w:w="4410" w:type="dxa"/>
          </w:tcPr>
          <w:p w14:paraId="4654545E"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2C356BF9"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87BF06C" w14:textId="77777777"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5C32537"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A77A1D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A88C6C5"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C3E2B3D" w14:textId="7777777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c>
          <w:tcPr>
            <w:tcW w:w="1800" w:type="dxa"/>
            <w:tcBorders>
              <w:bottom w:val="single" w:sz="4" w:space="0" w:color="auto"/>
            </w:tcBorders>
          </w:tcPr>
          <w:p w14:paraId="580D9B6D" w14:textId="7777777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r>
      <w:tr w:rsidR="0034086E" w:rsidRPr="00487CAB" w14:paraId="670962B5" w14:textId="77777777" w:rsidTr="00340889">
        <w:tc>
          <w:tcPr>
            <w:tcW w:w="4410" w:type="dxa"/>
          </w:tcPr>
          <w:p w14:paraId="1CA7222C" w14:textId="77777777" w:rsidR="0034086E" w:rsidRPr="00487CAB" w:rsidRDefault="0034086E" w:rsidP="001B1FEA">
            <w:pPr>
              <w:tabs>
                <w:tab w:val="left" w:pos="144"/>
                <w:tab w:val="left" w:pos="324"/>
                <w:tab w:val="right" w:pos="9180"/>
              </w:tabs>
              <w:rPr>
                <w:snapToGrid w:val="0"/>
                <w:color w:val="000000"/>
                <w:sz w:val="19"/>
                <w:szCs w:val="19"/>
              </w:rPr>
            </w:pPr>
            <w:r w:rsidRPr="00487CAB">
              <w:rPr>
                <w:snapToGrid w:val="0"/>
                <w:color w:val="000000"/>
                <w:sz w:val="19"/>
                <w:szCs w:val="19"/>
              </w:rPr>
              <w:t>Balance at</w:t>
            </w:r>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tcBorders>
          </w:tcPr>
          <w:p w14:paraId="52D6B857" w14:textId="77777777" w:rsidR="0034086E" w:rsidRPr="00487CAB" w:rsidRDefault="0034086E" w:rsidP="001B1FEA">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126AD0F4" w14:textId="138BC390" w:rsidR="0034086E" w:rsidRPr="00487CAB" w:rsidRDefault="0034086E" w:rsidP="001B1FEA">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26DED0F9" w14:textId="77777777"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6,327,702</w:t>
            </w:r>
          </w:p>
        </w:tc>
        <w:tc>
          <w:tcPr>
            <w:tcW w:w="1170" w:type="dxa"/>
            <w:tcBorders>
              <w:top w:val="single" w:sz="4" w:space="0" w:color="auto"/>
            </w:tcBorders>
          </w:tcPr>
          <w:p w14:paraId="4D039A00" w14:textId="73DA1784"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6,328</w:t>
            </w:r>
          </w:p>
        </w:tc>
        <w:tc>
          <w:tcPr>
            <w:tcW w:w="1440" w:type="dxa"/>
            <w:tcBorders>
              <w:top w:val="single" w:sz="4" w:space="0" w:color="auto"/>
            </w:tcBorders>
          </w:tcPr>
          <w:p w14:paraId="1E37DF06" w14:textId="10C5299A" w:rsidR="0034086E" w:rsidRPr="00487CAB" w:rsidRDefault="0034086E" w:rsidP="001B1FEA">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68,134,402</w:t>
            </w:r>
          </w:p>
        </w:tc>
        <w:tc>
          <w:tcPr>
            <w:tcW w:w="1350" w:type="dxa"/>
            <w:tcBorders>
              <w:top w:val="single" w:sz="4" w:space="0" w:color="auto"/>
            </w:tcBorders>
          </w:tcPr>
          <w:p w14:paraId="6073A7AB" w14:textId="76D9BC27" w:rsidR="0034086E" w:rsidRPr="00487CAB" w:rsidRDefault="0034086E" w:rsidP="001B1FEA">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(48,682,392)</w:t>
            </w:r>
          </w:p>
        </w:tc>
        <w:tc>
          <w:tcPr>
            <w:tcW w:w="1800" w:type="dxa"/>
            <w:tcBorders>
              <w:top w:val="single" w:sz="4" w:space="0" w:color="auto"/>
            </w:tcBorders>
          </w:tcPr>
          <w:p w14:paraId="4FF437B1" w14:textId="6AEE73F7" w:rsidR="0034086E" w:rsidRPr="00487CAB" w:rsidRDefault="0034086E" w:rsidP="001B1FEA">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19,458,338</w:t>
            </w:r>
          </w:p>
        </w:tc>
      </w:tr>
      <w:bookmarkEnd w:id="15"/>
      <w:bookmarkEnd w:id="16"/>
      <w:tr w:rsidR="00340889" w:rsidRPr="00487CAB" w14:paraId="478EFFF1" w14:textId="77777777" w:rsidTr="00B55AAE">
        <w:tc>
          <w:tcPr>
            <w:tcW w:w="4410" w:type="dxa"/>
          </w:tcPr>
          <w:p w14:paraId="07C55B18" w14:textId="699DD117" w:rsidR="00340889" w:rsidRPr="00487CAB" w:rsidRDefault="00340889" w:rsidP="00B55AAE">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1170" w:type="dxa"/>
          </w:tcPr>
          <w:p w14:paraId="39446310" w14:textId="77777777" w:rsidR="00340889" w:rsidRPr="00487CAB" w:rsidRDefault="00340889"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F993143" w14:textId="77777777" w:rsidR="00340889" w:rsidRPr="00487CAB" w:rsidRDefault="00340889"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3037FA8" w14:textId="2CEA366E" w:rsidR="00340889" w:rsidRPr="00487CAB"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53,839</w:t>
            </w:r>
          </w:p>
        </w:tc>
        <w:tc>
          <w:tcPr>
            <w:tcW w:w="1170" w:type="dxa"/>
          </w:tcPr>
          <w:p w14:paraId="3844F8DE" w14:textId="6C399245" w:rsidR="00340889" w:rsidRPr="00487CAB"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54</w:t>
            </w:r>
          </w:p>
        </w:tc>
        <w:tc>
          <w:tcPr>
            <w:tcW w:w="1440" w:type="dxa"/>
          </w:tcPr>
          <w:p w14:paraId="490C3644" w14:textId="72DD22BC" w:rsidR="00340889" w:rsidRPr="00487CAB"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229,946</w:t>
            </w:r>
          </w:p>
        </w:tc>
        <w:tc>
          <w:tcPr>
            <w:tcW w:w="1350" w:type="dxa"/>
          </w:tcPr>
          <w:p w14:paraId="748AA278" w14:textId="77777777" w:rsidR="00340889" w:rsidRPr="00487CAB" w:rsidRDefault="00340889" w:rsidP="00B55AAE">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587D8A6" w14:textId="5D150E48" w:rsidR="00340889" w:rsidRPr="00487CAB" w:rsidRDefault="00340889" w:rsidP="00B55AAE">
            <w:pPr>
              <w:tabs>
                <w:tab w:val="decimal" w:pos="1418"/>
                <w:tab w:val="right" w:pos="9180"/>
              </w:tabs>
              <w:rPr>
                <w:snapToGrid w:val="0"/>
                <w:color w:val="000000"/>
                <w:sz w:val="19"/>
                <w:szCs w:val="19"/>
              </w:rPr>
            </w:pPr>
            <w:r>
              <w:rPr>
                <w:snapToGrid w:val="0"/>
                <w:color w:val="000000"/>
                <w:sz w:val="19"/>
                <w:szCs w:val="19"/>
              </w:rPr>
              <w:tab/>
              <w:t>230,000</w:t>
            </w:r>
          </w:p>
        </w:tc>
      </w:tr>
      <w:tr w:rsidR="00340889" w:rsidRPr="00487CAB" w14:paraId="4BE5A24B" w14:textId="77777777" w:rsidTr="00B55AAE">
        <w:tc>
          <w:tcPr>
            <w:tcW w:w="4410" w:type="dxa"/>
          </w:tcPr>
          <w:p w14:paraId="53FD9DC3" w14:textId="77777777" w:rsidR="00340889" w:rsidRDefault="00340889" w:rsidP="00B55AAE">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439A1A2E" w14:textId="77777777" w:rsidR="00340889" w:rsidRDefault="00340889"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9EB3679" w14:textId="77777777" w:rsidR="00340889" w:rsidRDefault="00340889"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F9578AE" w14:textId="77777777" w:rsidR="00340889"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44371F1" w14:textId="77777777" w:rsidR="00340889"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6A77165F" w14:textId="77777777" w:rsidR="00340889"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75A222F5" w14:textId="77777777" w:rsidR="00340889" w:rsidRPr="00636549" w:rsidRDefault="00340889" w:rsidP="00B55AAE">
            <w:pPr>
              <w:pStyle w:val="ListParagraph"/>
              <w:numPr>
                <w:ilvl w:val="0"/>
                <w:numId w:val="9"/>
              </w:numPr>
              <w:tabs>
                <w:tab w:val="decimal" w:pos="1150"/>
                <w:tab w:val="left" w:pos="2340"/>
                <w:tab w:val="right" w:pos="9180"/>
              </w:tabs>
              <w:rPr>
                <w:snapToGrid w:val="0"/>
                <w:color w:val="000000"/>
                <w:sz w:val="19"/>
                <w:szCs w:val="19"/>
              </w:rPr>
            </w:pPr>
          </w:p>
        </w:tc>
        <w:tc>
          <w:tcPr>
            <w:tcW w:w="1800" w:type="dxa"/>
          </w:tcPr>
          <w:p w14:paraId="68241926" w14:textId="77777777" w:rsidR="00340889" w:rsidRDefault="00340889" w:rsidP="00B55AAE">
            <w:pPr>
              <w:tabs>
                <w:tab w:val="decimal" w:pos="1418"/>
                <w:tab w:val="right" w:pos="9180"/>
              </w:tabs>
              <w:rPr>
                <w:snapToGrid w:val="0"/>
                <w:color w:val="000000"/>
                <w:sz w:val="19"/>
                <w:szCs w:val="19"/>
              </w:rPr>
            </w:pPr>
            <w:r>
              <w:rPr>
                <w:snapToGrid w:val="0"/>
                <w:color w:val="000000"/>
                <w:sz w:val="19"/>
                <w:szCs w:val="19"/>
              </w:rPr>
              <w:tab/>
              <w:t>56,190</w:t>
            </w:r>
          </w:p>
        </w:tc>
      </w:tr>
      <w:tr w:rsidR="00340889" w:rsidRPr="00487CAB" w14:paraId="16A63EE3" w14:textId="77777777" w:rsidTr="00B55AAE">
        <w:tc>
          <w:tcPr>
            <w:tcW w:w="4410" w:type="dxa"/>
          </w:tcPr>
          <w:p w14:paraId="6F769512" w14:textId="71A6EE7C" w:rsidR="00340889" w:rsidRDefault="00B61092" w:rsidP="00B55AAE">
            <w:pPr>
              <w:tabs>
                <w:tab w:val="left" w:pos="144"/>
                <w:tab w:val="left" w:pos="324"/>
                <w:tab w:val="right" w:pos="9180"/>
              </w:tabs>
              <w:rPr>
                <w:snapToGrid w:val="0"/>
                <w:color w:val="000000"/>
                <w:sz w:val="19"/>
                <w:szCs w:val="19"/>
              </w:rPr>
            </w:pPr>
            <w:r>
              <w:rPr>
                <w:snapToGrid w:val="0"/>
                <w:color w:val="000000"/>
                <w:sz w:val="19"/>
                <w:szCs w:val="19"/>
              </w:rPr>
              <w:tab/>
              <w:t>Issuance of warrant for technology license</w:t>
            </w:r>
          </w:p>
        </w:tc>
        <w:tc>
          <w:tcPr>
            <w:tcW w:w="1170" w:type="dxa"/>
          </w:tcPr>
          <w:p w14:paraId="3341CD13" w14:textId="2EF364C3" w:rsidR="00340889" w:rsidRDefault="00B61092" w:rsidP="00B55AAE">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E651D5A" w14:textId="61B596A2" w:rsidR="00340889" w:rsidRDefault="00B61092" w:rsidP="00B55AAE">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8240288" w14:textId="2C4D171F" w:rsidR="00340889"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881C032" w14:textId="60BA37CD" w:rsidR="00340889"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54B71F1F" w14:textId="59809A7C" w:rsidR="00340889" w:rsidRDefault="00B61092"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ab/>
              <w:t>209,825</w:t>
            </w:r>
          </w:p>
        </w:tc>
        <w:tc>
          <w:tcPr>
            <w:tcW w:w="1350" w:type="dxa"/>
          </w:tcPr>
          <w:p w14:paraId="1031C3C1" w14:textId="35B37019" w:rsidR="00340889" w:rsidRPr="00636549" w:rsidRDefault="00B61092" w:rsidP="00B55AAE">
            <w:pPr>
              <w:pStyle w:val="ListParagraph"/>
              <w:numPr>
                <w:ilvl w:val="0"/>
                <w:numId w:val="9"/>
              </w:numPr>
              <w:tabs>
                <w:tab w:val="decimal" w:pos="1150"/>
                <w:tab w:val="left" w:pos="2340"/>
                <w:tab w:val="right" w:pos="9180"/>
              </w:tabs>
              <w:rPr>
                <w:snapToGrid w:val="0"/>
                <w:color w:val="000000"/>
                <w:sz w:val="19"/>
                <w:szCs w:val="19"/>
              </w:rPr>
            </w:pPr>
            <w:r>
              <w:rPr>
                <w:snapToGrid w:val="0"/>
                <w:color w:val="000000"/>
                <w:sz w:val="19"/>
                <w:szCs w:val="19"/>
              </w:rPr>
              <w:tab/>
            </w:r>
          </w:p>
        </w:tc>
        <w:tc>
          <w:tcPr>
            <w:tcW w:w="1800" w:type="dxa"/>
          </w:tcPr>
          <w:p w14:paraId="602F6E45" w14:textId="0B2F7439" w:rsidR="00340889" w:rsidRDefault="00B61092" w:rsidP="00B55AAE">
            <w:pPr>
              <w:tabs>
                <w:tab w:val="decimal" w:pos="1418"/>
                <w:tab w:val="right" w:pos="9180"/>
              </w:tabs>
              <w:rPr>
                <w:snapToGrid w:val="0"/>
                <w:color w:val="000000"/>
                <w:sz w:val="19"/>
                <w:szCs w:val="19"/>
              </w:rPr>
            </w:pPr>
            <w:r>
              <w:rPr>
                <w:snapToGrid w:val="0"/>
                <w:color w:val="000000"/>
                <w:sz w:val="19"/>
                <w:szCs w:val="19"/>
              </w:rPr>
              <w:tab/>
              <w:t>209,825</w:t>
            </w:r>
          </w:p>
        </w:tc>
      </w:tr>
      <w:tr w:rsidR="00340889" w:rsidRPr="00487CAB" w14:paraId="3F88E630" w14:textId="77777777" w:rsidTr="00B55AAE">
        <w:tc>
          <w:tcPr>
            <w:tcW w:w="4410" w:type="dxa"/>
          </w:tcPr>
          <w:p w14:paraId="298F259A" w14:textId="77777777" w:rsidR="00B61092" w:rsidRDefault="00340889" w:rsidP="00B55AAE">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438FE8C5" w14:textId="538A5C16" w:rsidR="00340889" w:rsidRPr="00487CAB" w:rsidRDefault="00B61092" w:rsidP="00B55AAE">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00340889" w:rsidRPr="00487CAB">
              <w:rPr>
                <w:snapToGrid w:val="0"/>
                <w:color w:val="000000"/>
                <w:sz w:val="19"/>
                <w:szCs w:val="19"/>
              </w:rPr>
              <w:t xml:space="preserve"> 3</w:t>
            </w:r>
            <w:r w:rsidR="00340889">
              <w:rPr>
                <w:snapToGrid w:val="0"/>
                <w:color w:val="000000"/>
                <w:sz w:val="19"/>
                <w:szCs w:val="19"/>
              </w:rPr>
              <w:t>0</w:t>
            </w:r>
            <w:r w:rsidR="00340889" w:rsidRPr="00487CAB">
              <w:rPr>
                <w:snapToGrid w:val="0"/>
                <w:color w:val="000000"/>
                <w:sz w:val="19"/>
                <w:szCs w:val="19"/>
              </w:rPr>
              <w:t>, 20</w:t>
            </w:r>
            <w:r w:rsidR="00340889">
              <w:rPr>
                <w:snapToGrid w:val="0"/>
                <w:color w:val="000000"/>
                <w:sz w:val="19"/>
                <w:szCs w:val="19"/>
              </w:rPr>
              <w:t>21</w:t>
            </w:r>
          </w:p>
        </w:tc>
        <w:tc>
          <w:tcPr>
            <w:tcW w:w="1170" w:type="dxa"/>
            <w:tcBorders>
              <w:bottom w:val="single" w:sz="4" w:space="0" w:color="auto"/>
            </w:tcBorders>
          </w:tcPr>
          <w:p w14:paraId="49658A1D" w14:textId="77777777" w:rsidR="00B61092" w:rsidRDefault="00B61092" w:rsidP="00B55AAE">
            <w:pPr>
              <w:tabs>
                <w:tab w:val="decimal" w:pos="917"/>
                <w:tab w:val="left" w:pos="2340"/>
                <w:tab w:val="right" w:pos="9180"/>
              </w:tabs>
              <w:rPr>
                <w:snapToGrid w:val="0"/>
                <w:color w:val="000000"/>
                <w:sz w:val="19"/>
                <w:szCs w:val="19"/>
              </w:rPr>
            </w:pPr>
          </w:p>
          <w:p w14:paraId="02E19906" w14:textId="42B5896A" w:rsidR="00340889" w:rsidRPr="00487CAB" w:rsidRDefault="00340889" w:rsidP="00B55AAE">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B9B35F7" w14:textId="77777777" w:rsidR="00B61092" w:rsidRDefault="00B61092" w:rsidP="00B55AAE">
            <w:pPr>
              <w:tabs>
                <w:tab w:val="decimal" w:pos="798"/>
                <w:tab w:val="left" w:pos="2340"/>
                <w:tab w:val="right" w:pos="9180"/>
              </w:tabs>
              <w:rPr>
                <w:snapToGrid w:val="0"/>
                <w:color w:val="000000"/>
                <w:sz w:val="19"/>
                <w:szCs w:val="19"/>
              </w:rPr>
            </w:pPr>
          </w:p>
          <w:p w14:paraId="23B82B49" w14:textId="577055DF" w:rsidR="00340889" w:rsidRPr="00487CAB" w:rsidRDefault="00340889" w:rsidP="00B55AAE">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A602588" w14:textId="77777777" w:rsidR="00B61092" w:rsidRDefault="00B61092" w:rsidP="00B55AAE">
            <w:pPr>
              <w:tabs>
                <w:tab w:val="decimal" w:pos="1148"/>
                <w:tab w:val="decimal" w:pos="1422"/>
                <w:tab w:val="left" w:pos="2340"/>
                <w:tab w:val="right" w:pos="9180"/>
              </w:tabs>
              <w:rPr>
                <w:snapToGrid w:val="0"/>
                <w:color w:val="000000"/>
                <w:sz w:val="19"/>
                <w:szCs w:val="19"/>
              </w:rPr>
            </w:pPr>
          </w:p>
          <w:p w14:paraId="6B615A86" w14:textId="5C71F210" w:rsidR="00340889" w:rsidRPr="00487CAB" w:rsidRDefault="00340889"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2F8DCC03" w14:textId="77777777" w:rsidR="00B61092" w:rsidRDefault="00B61092" w:rsidP="00B55AAE">
            <w:pPr>
              <w:tabs>
                <w:tab w:val="decimal" w:pos="1148"/>
                <w:tab w:val="decimal" w:pos="1422"/>
                <w:tab w:val="left" w:pos="2340"/>
                <w:tab w:val="right" w:pos="9180"/>
              </w:tabs>
              <w:rPr>
                <w:snapToGrid w:val="0"/>
                <w:color w:val="000000"/>
                <w:sz w:val="19"/>
                <w:szCs w:val="19"/>
              </w:rPr>
            </w:pPr>
          </w:p>
          <w:p w14:paraId="10DAB0B5" w14:textId="758CA473" w:rsidR="00340889" w:rsidRPr="00487CAB" w:rsidRDefault="00340889"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1D6FFB7D" w14:textId="77777777" w:rsidR="00B61092" w:rsidRDefault="00B61092" w:rsidP="00B55AAE">
            <w:pPr>
              <w:tabs>
                <w:tab w:val="decimal" w:pos="1148"/>
                <w:tab w:val="decimal" w:pos="1422"/>
                <w:tab w:val="left" w:pos="2340"/>
                <w:tab w:val="right" w:pos="9180"/>
              </w:tabs>
              <w:rPr>
                <w:snapToGrid w:val="0"/>
                <w:color w:val="000000"/>
                <w:sz w:val="19"/>
                <w:szCs w:val="19"/>
              </w:rPr>
            </w:pPr>
          </w:p>
          <w:p w14:paraId="30B9C421" w14:textId="6DD848DB" w:rsidR="00340889" w:rsidRPr="00487CAB" w:rsidRDefault="00340889"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2DFAE135" w14:textId="77777777" w:rsidR="00B61092" w:rsidRDefault="00B61092" w:rsidP="00B55AAE">
            <w:pPr>
              <w:tabs>
                <w:tab w:val="decimal" w:pos="1150"/>
                <w:tab w:val="left" w:pos="2340"/>
                <w:tab w:val="right" w:pos="9180"/>
              </w:tabs>
              <w:rPr>
                <w:snapToGrid w:val="0"/>
                <w:color w:val="000000"/>
                <w:sz w:val="19"/>
                <w:szCs w:val="19"/>
              </w:rPr>
            </w:pPr>
          </w:p>
          <w:p w14:paraId="61A5FE8D" w14:textId="3421B03A" w:rsidR="00340889" w:rsidRPr="00487CAB" w:rsidRDefault="00340889" w:rsidP="00B55AAE">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B61092">
              <w:rPr>
                <w:snapToGrid w:val="0"/>
                <w:color w:val="000000"/>
                <w:sz w:val="19"/>
                <w:szCs w:val="19"/>
              </w:rPr>
              <w:t>950,503</w:t>
            </w:r>
            <w:r>
              <w:rPr>
                <w:snapToGrid w:val="0"/>
                <w:color w:val="000000"/>
                <w:sz w:val="19"/>
                <w:szCs w:val="19"/>
              </w:rPr>
              <w:t>)</w:t>
            </w:r>
          </w:p>
        </w:tc>
        <w:tc>
          <w:tcPr>
            <w:tcW w:w="1800" w:type="dxa"/>
            <w:tcBorders>
              <w:bottom w:val="single" w:sz="4" w:space="0" w:color="auto"/>
            </w:tcBorders>
          </w:tcPr>
          <w:p w14:paraId="3E21F983" w14:textId="77777777" w:rsidR="00B61092" w:rsidRDefault="00B61092" w:rsidP="00B55AAE">
            <w:pPr>
              <w:tabs>
                <w:tab w:val="decimal" w:pos="1418"/>
                <w:tab w:val="right" w:pos="9180"/>
              </w:tabs>
              <w:rPr>
                <w:snapToGrid w:val="0"/>
                <w:color w:val="000000"/>
                <w:sz w:val="19"/>
                <w:szCs w:val="19"/>
              </w:rPr>
            </w:pPr>
          </w:p>
          <w:p w14:paraId="38235BE3" w14:textId="75402322" w:rsidR="00340889" w:rsidRPr="00487CAB" w:rsidRDefault="00340889" w:rsidP="00B55AAE">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B61092">
              <w:rPr>
                <w:snapToGrid w:val="0"/>
                <w:color w:val="000000"/>
                <w:sz w:val="19"/>
                <w:szCs w:val="19"/>
              </w:rPr>
              <w:t>950,503</w:t>
            </w:r>
            <w:r>
              <w:rPr>
                <w:snapToGrid w:val="0"/>
                <w:color w:val="000000"/>
                <w:sz w:val="19"/>
                <w:szCs w:val="19"/>
              </w:rPr>
              <w:t>)</w:t>
            </w:r>
          </w:p>
        </w:tc>
      </w:tr>
      <w:tr w:rsidR="00340889" w:rsidRPr="00487CAB" w14:paraId="7E1248C3" w14:textId="77777777" w:rsidTr="00B55AAE">
        <w:tc>
          <w:tcPr>
            <w:tcW w:w="4410" w:type="dxa"/>
          </w:tcPr>
          <w:p w14:paraId="01F3874C" w14:textId="183BA1A9" w:rsidR="00340889" w:rsidRPr="00487CAB" w:rsidRDefault="00340889" w:rsidP="00B55AAE">
            <w:pPr>
              <w:tabs>
                <w:tab w:val="left" w:pos="144"/>
                <w:tab w:val="left" w:pos="324"/>
                <w:tab w:val="right" w:pos="9180"/>
              </w:tabs>
              <w:rPr>
                <w:snapToGrid w:val="0"/>
                <w:color w:val="000000"/>
                <w:sz w:val="19"/>
                <w:szCs w:val="19"/>
              </w:rPr>
            </w:pPr>
            <w:r w:rsidRPr="00487CAB">
              <w:rPr>
                <w:snapToGrid w:val="0"/>
                <w:color w:val="000000"/>
                <w:sz w:val="19"/>
                <w:szCs w:val="19"/>
              </w:rPr>
              <w:t>Balance at</w:t>
            </w:r>
            <w:r>
              <w:rPr>
                <w:snapToGrid w:val="0"/>
                <w:color w:val="000000"/>
                <w:sz w:val="19"/>
                <w:szCs w:val="19"/>
              </w:rPr>
              <w:t xml:space="preserve"> </w:t>
            </w:r>
            <w:r w:rsidR="00B61092">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bottom w:val="double" w:sz="4" w:space="0" w:color="auto"/>
            </w:tcBorders>
          </w:tcPr>
          <w:p w14:paraId="769A2980" w14:textId="77777777" w:rsidR="00340889" w:rsidRPr="00487CAB" w:rsidRDefault="00340889" w:rsidP="00B55AAE">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13370ADE" w14:textId="77777777" w:rsidR="00340889" w:rsidRPr="00487CAB" w:rsidRDefault="00340889" w:rsidP="00B55AAE">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41A89853" w14:textId="22C5ACBC" w:rsidR="00340889" w:rsidRPr="00487CAB" w:rsidRDefault="00340889" w:rsidP="00B55AAE">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w:t>
            </w:r>
            <w:r w:rsidR="00B61092">
              <w:rPr>
                <w:snapToGrid w:val="0"/>
                <w:color w:val="000000"/>
                <w:sz w:val="19"/>
                <w:szCs w:val="19"/>
              </w:rPr>
              <w:t>81,541</w:t>
            </w:r>
          </w:p>
        </w:tc>
        <w:tc>
          <w:tcPr>
            <w:tcW w:w="1170" w:type="dxa"/>
            <w:tcBorders>
              <w:top w:val="single" w:sz="4" w:space="0" w:color="auto"/>
              <w:bottom w:val="double" w:sz="4" w:space="0" w:color="auto"/>
            </w:tcBorders>
          </w:tcPr>
          <w:p w14:paraId="7BE89266" w14:textId="610023F1" w:rsidR="00340889" w:rsidRPr="00487CAB"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6,3</w:t>
            </w:r>
            <w:r w:rsidR="00B61092">
              <w:rPr>
                <w:snapToGrid w:val="0"/>
                <w:color w:val="000000"/>
                <w:sz w:val="19"/>
                <w:szCs w:val="19"/>
              </w:rPr>
              <w:t>82</w:t>
            </w:r>
          </w:p>
        </w:tc>
        <w:tc>
          <w:tcPr>
            <w:tcW w:w="1440" w:type="dxa"/>
            <w:tcBorders>
              <w:top w:val="single" w:sz="4" w:space="0" w:color="auto"/>
              <w:bottom w:val="double" w:sz="4" w:space="0" w:color="auto"/>
            </w:tcBorders>
          </w:tcPr>
          <w:p w14:paraId="244542A0" w14:textId="55B7FBAD" w:rsidR="00340889" w:rsidRPr="00487CAB" w:rsidRDefault="00340889" w:rsidP="00B55AAE">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68</w:t>
            </w:r>
            <w:r w:rsidR="00B61092">
              <w:rPr>
                <w:snapToGrid w:val="0"/>
                <w:color w:val="000000"/>
                <w:sz w:val="19"/>
                <w:szCs w:val="19"/>
              </w:rPr>
              <w:t>,630,363</w:t>
            </w:r>
          </w:p>
        </w:tc>
        <w:tc>
          <w:tcPr>
            <w:tcW w:w="1350" w:type="dxa"/>
            <w:tcBorders>
              <w:top w:val="single" w:sz="4" w:space="0" w:color="auto"/>
              <w:bottom w:val="double" w:sz="4" w:space="0" w:color="auto"/>
            </w:tcBorders>
          </w:tcPr>
          <w:p w14:paraId="1019B970" w14:textId="2C543878" w:rsidR="00340889" w:rsidRPr="00487CAB" w:rsidRDefault="00340889" w:rsidP="00B55AAE">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r w:rsidR="00B61092">
              <w:rPr>
                <w:snapToGrid w:val="0"/>
                <w:color w:val="000000"/>
                <w:sz w:val="19"/>
                <w:szCs w:val="19"/>
              </w:rPr>
              <w:t>50,632,895</w:t>
            </w:r>
            <w:r>
              <w:rPr>
                <w:snapToGrid w:val="0"/>
                <w:color w:val="000000"/>
                <w:sz w:val="19"/>
                <w:szCs w:val="19"/>
              </w:rPr>
              <w:t>)</w:t>
            </w:r>
          </w:p>
        </w:tc>
        <w:tc>
          <w:tcPr>
            <w:tcW w:w="1800" w:type="dxa"/>
            <w:tcBorders>
              <w:top w:val="single" w:sz="4" w:space="0" w:color="auto"/>
              <w:bottom w:val="double" w:sz="4" w:space="0" w:color="auto"/>
            </w:tcBorders>
          </w:tcPr>
          <w:p w14:paraId="45EBB1D6" w14:textId="662B790F" w:rsidR="00340889" w:rsidRPr="00487CAB" w:rsidRDefault="00340889" w:rsidP="00B55AAE">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B61092">
              <w:rPr>
                <w:snapToGrid w:val="0"/>
                <w:color w:val="000000"/>
                <w:sz w:val="19"/>
                <w:szCs w:val="19"/>
              </w:rPr>
              <w:t>18,003,850</w:t>
            </w:r>
          </w:p>
        </w:tc>
      </w:tr>
    </w:tbl>
    <w:p w14:paraId="5451020A" w14:textId="42C81B7D" w:rsidR="004F479E" w:rsidRDefault="004F479E" w:rsidP="00487CAB">
      <w:pPr>
        <w:tabs>
          <w:tab w:val="decimal" w:pos="1152"/>
          <w:tab w:val="left" w:pos="2340"/>
          <w:tab w:val="right" w:pos="9180"/>
        </w:tabs>
        <w:rPr>
          <w:snapToGrid w:val="0"/>
          <w:color w:val="000000"/>
        </w:rPr>
      </w:pPr>
    </w:p>
    <w:p w14:paraId="11D36CCB" w14:textId="77016E2D" w:rsidR="004F479E" w:rsidRDefault="004F479E" w:rsidP="00487CAB">
      <w:pPr>
        <w:tabs>
          <w:tab w:val="decimal" w:pos="1152"/>
          <w:tab w:val="left" w:pos="2340"/>
          <w:tab w:val="right" w:pos="9180"/>
        </w:tabs>
        <w:rPr>
          <w:snapToGrid w:val="0"/>
          <w:color w:val="000000"/>
        </w:rPr>
      </w:pPr>
    </w:p>
    <w:p w14:paraId="0CECAAAA" w14:textId="6E5BE80A" w:rsidR="004F479E" w:rsidRDefault="004F479E" w:rsidP="00487CAB">
      <w:pPr>
        <w:tabs>
          <w:tab w:val="decimal" w:pos="1152"/>
          <w:tab w:val="left" w:pos="2340"/>
          <w:tab w:val="right" w:pos="9180"/>
        </w:tabs>
        <w:rPr>
          <w:snapToGrid w:val="0"/>
          <w:color w:val="000000"/>
        </w:rPr>
      </w:pPr>
    </w:p>
    <w:p w14:paraId="56E1AEE2" w14:textId="2AFEF9A2" w:rsidR="004F479E" w:rsidRDefault="004F479E"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34086E" w:rsidRPr="00EF6E26" w14:paraId="4F308894" w14:textId="77777777" w:rsidTr="001B1FEA">
        <w:tc>
          <w:tcPr>
            <w:tcW w:w="10188" w:type="dxa"/>
            <w:gridSpan w:val="11"/>
          </w:tcPr>
          <w:p w14:paraId="3061B01D" w14:textId="77777777" w:rsidR="0034086E" w:rsidRPr="00EF6E26" w:rsidRDefault="0034086E" w:rsidP="001B1FEA">
            <w:pPr>
              <w:ind w:right="-18"/>
              <w:jc w:val="center"/>
              <w:rPr>
                <w:b/>
              </w:rPr>
            </w:pPr>
            <w:r w:rsidRPr="00EF6E26">
              <w:rPr>
                <w:b/>
              </w:rPr>
              <w:lastRenderedPageBreak/>
              <w:t>GEOVAX LABS, INC.</w:t>
            </w:r>
          </w:p>
          <w:p w14:paraId="2EAE0AD9" w14:textId="77777777" w:rsidR="0034086E" w:rsidRPr="00EF6E26" w:rsidRDefault="0034086E" w:rsidP="001B1FEA">
            <w:pPr>
              <w:ind w:right="-18"/>
              <w:jc w:val="center"/>
              <w:rPr>
                <w:b/>
              </w:rPr>
            </w:pPr>
            <w:r w:rsidRPr="00EF6E26">
              <w:rPr>
                <w:b/>
              </w:rPr>
              <w:t>CONDENSED CONSOLIDATED STATEMENTS OF CASH FLOWS</w:t>
            </w:r>
          </w:p>
          <w:p w14:paraId="65E2F727" w14:textId="77777777" w:rsidR="0034086E" w:rsidRPr="00EF6E26" w:rsidRDefault="0034086E" w:rsidP="001B1FEA">
            <w:pPr>
              <w:ind w:right="-18"/>
              <w:jc w:val="center"/>
              <w:rPr>
                <w:b/>
              </w:rPr>
            </w:pPr>
            <w:r w:rsidRPr="00EF6E26">
              <w:rPr>
                <w:b/>
              </w:rPr>
              <w:t>(Unaudited)</w:t>
            </w:r>
          </w:p>
        </w:tc>
      </w:tr>
      <w:tr w:rsidR="0034086E" w:rsidRPr="000D3DC5" w14:paraId="67FD8647" w14:textId="77777777" w:rsidTr="001B1FEA">
        <w:tc>
          <w:tcPr>
            <w:tcW w:w="4853" w:type="dxa"/>
            <w:gridSpan w:val="7"/>
          </w:tcPr>
          <w:p w14:paraId="13F487CF" w14:textId="77777777" w:rsidR="0034086E" w:rsidRPr="000D3DC5" w:rsidRDefault="0034086E" w:rsidP="001B1FEA"/>
        </w:tc>
        <w:tc>
          <w:tcPr>
            <w:tcW w:w="1555" w:type="dxa"/>
          </w:tcPr>
          <w:p w14:paraId="270AD536" w14:textId="77777777" w:rsidR="0034086E" w:rsidRPr="000D3DC5" w:rsidRDefault="0034086E" w:rsidP="001B1FEA">
            <w:pPr>
              <w:tabs>
                <w:tab w:val="right" w:pos="9180"/>
              </w:tabs>
            </w:pPr>
          </w:p>
        </w:tc>
        <w:tc>
          <w:tcPr>
            <w:tcW w:w="1800" w:type="dxa"/>
          </w:tcPr>
          <w:p w14:paraId="65A23741" w14:textId="77777777" w:rsidR="0034086E" w:rsidRPr="000D3DC5" w:rsidRDefault="0034086E" w:rsidP="001B1FEA">
            <w:pPr>
              <w:tabs>
                <w:tab w:val="decimal" w:pos="1044"/>
                <w:tab w:val="decimal" w:pos="1332"/>
                <w:tab w:val="right" w:pos="9180"/>
              </w:tabs>
            </w:pPr>
          </w:p>
        </w:tc>
        <w:tc>
          <w:tcPr>
            <w:tcW w:w="360" w:type="dxa"/>
          </w:tcPr>
          <w:p w14:paraId="1B2EB320" w14:textId="77777777" w:rsidR="0034086E" w:rsidRPr="000D3DC5" w:rsidRDefault="0034086E" w:rsidP="001B1FEA">
            <w:pPr>
              <w:tabs>
                <w:tab w:val="right" w:pos="9180"/>
              </w:tabs>
            </w:pPr>
          </w:p>
        </w:tc>
        <w:tc>
          <w:tcPr>
            <w:tcW w:w="1620" w:type="dxa"/>
          </w:tcPr>
          <w:p w14:paraId="699A856D" w14:textId="77777777" w:rsidR="0034086E" w:rsidRPr="000D3DC5" w:rsidRDefault="0034086E" w:rsidP="001B1FEA">
            <w:pPr>
              <w:tabs>
                <w:tab w:val="decimal" w:pos="1044"/>
                <w:tab w:val="right" w:pos="9180"/>
              </w:tabs>
              <w:ind w:right="-18"/>
            </w:pPr>
          </w:p>
        </w:tc>
      </w:tr>
      <w:tr w:rsidR="0034086E" w:rsidRPr="000D3DC5" w14:paraId="46721F3B" w14:textId="77777777" w:rsidTr="001B1FEA">
        <w:tc>
          <w:tcPr>
            <w:tcW w:w="4853" w:type="dxa"/>
            <w:gridSpan w:val="7"/>
          </w:tcPr>
          <w:p w14:paraId="04155047" w14:textId="77777777" w:rsidR="0034086E" w:rsidRPr="000D3DC5" w:rsidRDefault="0034086E" w:rsidP="001B1FEA"/>
        </w:tc>
        <w:tc>
          <w:tcPr>
            <w:tcW w:w="1555" w:type="dxa"/>
          </w:tcPr>
          <w:p w14:paraId="40B55849" w14:textId="77777777" w:rsidR="0034086E" w:rsidRPr="000D3DC5" w:rsidRDefault="0034086E" w:rsidP="001B1FEA">
            <w:pPr>
              <w:tabs>
                <w:tab w:val="right" w:pos="9180"/>
              </w:tabs>
            </w:pPr>
          </w:p>
        </w:tc>
        <w:tc>
          <w:tcPr>
            <w:tcW w:w="1800" w:type="dxa"/>
          </w:tcPr>
          <w:p w14:paraId="0808AD9B" w14:textId="77777777" w:rsidR="0034086E" w:rsidRPr="000D3DC5" w:rsidRDefault="0034086E" w:rsidP="001B1FEA">
            <w:pPr>
              <w:tabs>
                <w:tab w:val="decimal" w:pos="1044"/>
                <w:tab w:val="decimal" w:pos="1332"/>
                <w:tab w:val="right" w:pos="9180"/>
              </w:tabs>
            </w:pPr>
          </w:p>
        </w:tc>
        <w:tc>
          <w:tcPr>
            <w:tcW w:w="360" w:type="dxa"/>
          </w:tcPr>
          <w:p w14:paraId="4FF8D8EB" w14:textId="77777777" w:rsidR="0034086E" w:rsidRPr="000D3DC5" w:rsidRDefault="0034086E" w:rsidP="001B1FEA">
            <w:pPr>
              <w:tabs>
                <w:tab w:val="right" w:pos="9180"/>
              </w:tabs>
            </w:pPr>
          </w:p>
        </w:tc>
        <w:tc>
          <w:tcPr>
            <w:tcW w:w="1620" w:type="dxa"/>
          </w:tcPr>
          <w:p w14:paraId="18A67F66" w14:textId="77777777" w:rsidR="0034086E" w:rsidRPr="000D3DC5" w:rsidRDefault="0034086E" w:rsidP="001B1FEA">
            <w:pPr>
              <w:tabs>
                <w:tab w:val="decimal" w:pos="1044"/>
                <w:tab w:val="right" w:pos="9180"/>
              </w:tabs>
              <w:ind w:right="-18"/>
            </w:pPr>
          </w:p>
        </w:tc>
      </w:tr>
      <w:tr w:rsidR="0034086E" w:rsidRPr="000D3DC5" w14:paraId="68AC6740" w14:textId="77777777" w:rsidTr="001B1FEA">
        <w:tc>
          <w:tcPr>
            <w:tcW w:w="4853" w:type="dxa"/>
            <w:gridSpan w:val="7"/>
          </w:tcPr>
          <w:p w14:paraId="2324F699" w14:textId="77777777" w:rsidR="0034086E" w:rsidRPr="000D3DC5" w:rsidRDefault="0034086E" w:rsidP="001B1FEA"/>
        </w:tc>
        <w:tc>
          <w:tcPr>
            <w:tcW w:w="1555" w:type="dxa"/>
          </w:tcPr>
          <w:p w14:paraId="5C150F17" w14:textId="77777777" w:rsidR="0034086E" w:rsidRPr="000D3DC5" w:rsidRDefault="0034086E" w:rsidP="001B1FEA">
            <w:pPr>
              <w:tabs>
                <w:tab w:val="right" w:pos="9180"/>
              </w:tabs>
            </w:pPr>
          </w:p>
        </w:tc>
        <w:tc>
          <w:tcPr>
            <w:tcW w:w="3780" w:type="dxa"/>
            <w:gridSpan w:val="3"/>
            <w:tcBorders>
              <w:bottom w:val="single" w:sz="4" w:space="0" w:color="auto"/>
            </w:tcBorders>
          </w:tcPr>
          <w:p w14:paraId="2EF0D872" w14:textId="72EA9B7D" w:rsidR="0034086E" w:rsidRPr="000D3DC5" w:rsidRDefault="00BE1412" w:rsidP="001B1FEA">
            <w:pPr>
              <w:tabs>
                <w:tab w:val="decimal" w:pos="1044"/>
                <w:tab w:val="right" w:pos="9180"/>
              </w:tabs>
              <w:ind w:right="-18"/>
              <w:jc w:val="center"/>
            </w:pPr>
            <w:r>
              <w:t>Nine</w:t>
            </w:r>
            <w:r w:rsidR="0034086E">
              <w:t xml:space="preserve"> Months Ended </w:t>
            </w:r>
            <w:r w:rsidR="002F3700">
              <w:t>September</w:t>
            </w:r>
            <w:r w:rsidR="0034086E">
              <w:t xml:space="preserve"> 30,</w:t>
            </w:r>
          </w:p>
        </w:tc>
      </w:tr>
      <w:tr w:rsidR="0034086E" w:rsidRPr="000D3DC5" w14:paraId="6952ED97" w14:textId="77777777" w:rsidTr="001B1FEA">
        <w:tc>
          <w:tcPr>
            <w:tcW w:w="4853" w:type="dxa"/>
            <w:gridSpan w:val="7"/>
          </w:tcPr>
          <w:p w14:paraId="3901FA49" w14:textId="77777777" w:rsidR="0034086E" w:rsidRPr="000D3DC5" w:rsidRDefault="0034086E" w:rsidP="001B1FEA"/>
        </w:tc>
        <w:tc>
          <w:tcPr>
            <w:tcW w:w="1555" w:type="dxa"/>
          </w:tcPr>
          <w:p w14:paraId="1BEB9BE9" w14:textId="77777777" w:rsidR="0034086E" w:rsidRPr="000D3DC5" w:rsidRDefault="0034086E" w:rsidP="001B1FEA">
            <w:pPr>
              <w:tabs>
                <w:tab w:val="right" w:pos="9180"/>
              </w:tabs>
            </w:pPr>
          </w:p>
        </w:tc>
        <w:tc>
          <w:tcPr>
            <w:tcW w:w="1800" w:type="dxa"/>
            <w:tcBorders>
              <w:top w:val="single" w:sz="4" w:space="0" w:color="auto"/>
              <w:bottom w:val="single" w:sz="4" w:space="0" w:color="auto"/>
            </w:tcBorders>
          </w:tcPr>
          <w:p w14:paraId="38C907DF" w14:textId="4119F34E" w:rsidR="0034086E" w:rsidRPr="000D3DC5" w:rsidRDefault="0034086E" w:rsidP="001B1FEA">
            <w:pPr>
              <w:tabs>
                <w:tab w:val="decimal" w:pos="1044"/>
                <w:tab w:val="decimal" w:pos="1332"/>
                <w:tab w:val="right" w:pos="9180"/>
              </w:tabs>
              <w:jc w:val="center"/>
            </w:pPr>
            <w:r>
              <w:t>202</w:t>
            </w:r>
            <w:r w:rsidR="00592D98">
              <w:t>2</w:t>
            </w:r>
          </w:p>
        </w:tc>
        <w:tc>
          <w:tcPr>
            <w:tcW w:w="360" w:type="dxa"/>
            <w:tcBorders>
              <w:top w:val="single" w:sz="4" w:space="0" w:color="auto"/>
            </w:tcBorders>
          </w:tcPr>
          <w:p w14:paraId="133FC1C4" w14:textId="77777777" w:rsidR="0034086E" w:rsidRPr="000D3DC5" w:rsidRDefault="0034086E" w:rsidP="001B1FEA">
            <w:pPr>
              <w:tabs>
                <w:tab w:val="right" w:pos="9180"/>
              </w:tabs>
              <w:jc w:val="center"/>
            </w:pPr>
          </w:p>
        </w:tc>
        <w:tc>
          <w:tcPr>
            <w:tcW w:w="1620" w:type="dxa"/>
            <w:tcBorders>
              <w:top w:val="single" w:sz="4" w:space="0" w:color="auto"/>
              <w:bottom w:val="single" w:sz="4" w:space="0" w:color="auto"/>
            </w:tcBorders>
          </w:tcPr>
          <w:p w14:paraId="0FF9482F" w14:textId="1ED9996C" w:rsidR="0034086E" w:rsidRPr="000D3DC5" w:rsidRDefault="0034086E" w:rsidP="001B1FEA">
            <w:pPr>
              <w:tabs>
                <w:tab w:val="decimal" w:pos="1044"/>
                <w:tab w:val="right" w:pos="9180"/>
              </w:tabs>
              <w:ind w:right="-18"/>
              <w:jc w:val="center"/>
            </w:pPr>
            <w:r>
              <w:t>202</w:t>
            </w:r>
            <w:r w:rsidR="008258F1">
              <w:t>1</w:t>
            </w:r>
          </w:p>
        </w:tc>
      </w:tr>
      <w:tr w:rsidR="0034086E" w:rsidRPr="000D3DC5" w14:paraId="01AA89C9" w14:textId="77777777" w:rsidTr="001B1FEA">
        <w:tc>
          <w:tcPr>
            <w:tcW w:w="4853" w:type="dxa"/>
            <w:gridSpan w:val="7"/>
          </w:tcPr>
          <w:p w14:paraId="2D71B4BD" w14:textId="77777777" w:rsidR="0034086E" w:rsidRPr="000D3DC5" w:rsidRDefault="0034086E" w:rsidP="001B1FEA">
            <w:r w:rsidRPr="000D3DC5">
              <w:t xml:space="preserve">Cash flows from </w:t>
            </w:r>
            <w:r>
              <w:t>operating</w:t>
            </w:r>
            <w:r w:rsidRPr="000D3DC5">
              <w:t xml:space="preserve"> activities:</w:t>
            </w:r>
          </w:p>
        </w:tc>
        <w:tc>
          <w:tcPr>
            <w:tcW w:w="1555" w:type="dxa"/>
          </w:tcPr>
          <w:p w14:paraId="7E2F8C4D" w14:textId="77777777" w:rsidR="0034086E" w:rsidRPr="000D3DC5" w:rsidRDefault="0034086E" w:rsidP="001B1FEA">
            <w:pPr>
              <w:tabs>
                <w:tab w:val="right" w:pos="9180"/>
              </w:tabs>
            </w:pPr>
          </w:p>
        </w:tc>
        <w:tc>
          <w:tcPr>
            <w:tcW w:w="1800" w:type="dxa"/>
            <w:tcBorders>
              <w:top w:val="single" w:sz="4" w:space="0" w:color="auto"/>
            </w:tcBorders>
          </w:tcPr>
          <w:p w14:paraId="0126576B" w14:textId="77777777" w:rsidR="0034086E" w:rsidRPr="000D3DC5" w:rsidRDefault="0034086E" w:rsidP="001B1FEA">
            <w:pPr>
              <w:tabs>
                <w:tab w:val="decimal" w:pos="1044"/>
                <w:tab w:val="decimal" w:pos="1332"/>
                <w:tab w:val="right" w:pos="9180"/>
              </w:tabs>
            </w:pPr>
          </w:p>
        </w:tc>
        <w:tc>
          <w:tcPr>
            <w:tcW w:w="360" w:type="dxa"/>
          </w:tcPr>
          <w:p w14:paraId="36F457A6" w14:textId="77777777" w:rsidR="0034086E" w:rsidRPr="000D3DC5" w:rsidRDefault="0034086E" w:rsidP="001B1FEA">
            <w:pPr>
              <w:tabs>
                <w:tab w:val="right" w:pos="9180"/>
              </w:tabs>
            </w:pPr>
          </w:p>
        </w:tc>
        <w:tc>
          <w:tcPr>
            <w:tcW w:w="1620" w:type="dxa"/>
          </w:tcPr>
          <w:p w14:paraId="56D3427D" w14:textId="77777777" w:rsidR="0034086E" w:rsidRPr="000D3DC5" w:rsidRDefault="0034086E" w:rsidP="001B1FEA">
            <w:pPr>
              <w:tabs>
                <w:tab w:val="decimal" w:pos="1044"/>
                <w:tab w:val="right" w:pos="9180"/>
              </w:tabs>
              <w:ind w:right="-18"/>
            </w:pPr>
          </w:p>
        </w:tc>
      </w:tr>
      <w:tr w:rsidR="0034086E" w:rsidRPr="000D3DC5" w14:paraId="387BEB8E" w14:textId="77777777" w:rsidTr="001B1FEA">
        <w:tc>
          <w:tcPr>
            <w:tcW w:w="378" w:type="dxa"/>
          </w:tcPr>
          <w:p w14:paraId="0674855E" w14:textId="77777777" w:rsidR="0034086E" w:rsidRPr="000D3DC5" w:rsidRDefault="0034086E" w:rsidP="001B1FEA"/>
        </w:tc>
        <w:tc>
          <w:tcPr>
            <w:tcW w:w="4475" w:type="dxa"/>
            <w:gridSpan w:val="6"/>
          </w:tcPr>
          <w:p w14:paraId="3F2D141C" w14:textId="77777777" w:rsidR="0034086E" w:rsidRPr="000D3DC5" w:rsidRDefault="0034086E" w:rsidP="001B1FEA">
            <w:r w:rsidRPr="000D3DC5">
              <w:t>Net loss</w:t>
            </w:r>
          </w:p>
        </w:tc>
        <w:tc>
          <w:tcPr>
            <w:tcW w:w="1555" w:type="dxa"/>
          </w:tcPr>
          <w:p w14:paraId="3F69400B" w14:textId="77777777" w:rsidR="0034086E" w:rsidRPr="000D3DC5" w:rsidRDefault="0034086E" w:rsidP="001B1FEA">
            <w:pPr>
              <w:tabs>
                <w:tab w:val="right" w:pos="9180"/>
              </w:tabs>
            </w:pPr>
          </w:p>
        </w:tc>
        <w:tc>
          <w:tcPr>
            <w:tcW w:w="1800" w:type="dxa"/>
          </w:tcPr>
          <w:p w14:paraId="43CAB44C" w14:textId="31B51AA3" w:rsidR="0034086E" w:rsidRPr="000D3DC5" w:rsidRDefault="0034086E" w:rsidP="001B1FEA">
            <w:pPr>
              <w:tabs>
                <w:tab w:val="decimal" w:pos="1332"/>
                <w:tab w:val="right" w:pos="9180"/>
              </w:tabs>
            </w:pPr>
            <w:r w:rsidRPr="000D3DC5">
              <w:t>$</w:t>
            </w:r>
            <w:r w:rsidRPr="000D3DC5">
              <w:tab/>
            </w:r>
            <w:r w:rsidR="00054F5F">
              <w:t>(8,6</w:t>
            </w:r>
            <w:r w:rsidR="00142598">
              <w:t>3</w:t>
            </w:r>
            <w:r w:rsidR="00054F5F">
              <w:t>7,316)</w:t>
            </w:r>
          </w:p>
        </w:tc>
        <w:tc>
          <w:tcPr>
            <w:tcW w:w="360" w:type="dxa"/>
          </w:tcPr>
          <w:p w14:paraId="52739A54" w14:textId="77777777" w:rsidR="0034086E" w:rsidRPr="000D3DC5" w:rsidRDefault="0034086E" w:rsidP="001B1FEA">
            <w:pPr>
              <w:tabs>
                <w:tab w:val="right" w:pos="9180"/>
              </w:tabs>
            </w:pPr>
          </w:p>
        </w:tc>
        <w:tc>
          <w:tcPr>
            <w:tcW w:w="1620" w:type="dxa"/>
          </w:tcPr>
          <w:p w14:paraId="37F476BC" w14:textId="32CDBF99" w:rsidR="0034086E" w:rsidRPr="000D3DC5" w:rsidRDefault="0034086E" w:rsidP="001B1FEA">
            <w:pPr>
              <w:tabs>
                <w:tab w:val="decimal" w:pos="1152"/>
                <w:tab w:val="right" w:pos="9180"/>
              </w:tabs>
            </w:pPr>
            <w:r>
              <w:t>$</w:t>
            </w:r>
            <w:r>
              <w:tab/>
              <w:t>(</w:t>
            </w:r>
            <w:r w:rsidR="00BE1412">
              <w:t>4,827,314)</w:t>
            </w:r>
          </w:p>
        </w:tc>
      </w:tr>
      <w:tr w:rsidR="0034086E" w:rsidRPr="000D3DC5" w14:paraId="6B1090A9" w14:textId="77777777" w:rsidTr="001B1FEA">
        <w:tc>
          <w:tcPr>
            <w:tcW w:w="378" w:type="dxa"/>
          </w:tcPr>
          <w:p w14:paraId="05087796" w14:textId="77777777" w:rsidR="0034086E" w:rsidRPr="000D3DC5" w:rsidRDefault="0034086E" w:rsidP="001B1FEA"/>
        </w:tc>
        <w:tc>
          <w:tcPr>
            <w:tcW w:w="4475" w:type="dxa"/>
            <w:gridSpan w:val="6"/>
          </w:tcPr>
          <w:p w14:paraId="30E07688" w14:textId="77777777" w:rsidR="0034086E" w:rsidRPr="000D3DC5" w:rsidRDefault="0034086E" w:rsidP="001B1FEA">
            <w:r w:rsidRPr="000D3DC5">
              <w:t>Adjustments to reconcile net loss to net cash</w:t>
            </w:r>
          </w:p>
        </w:tc>
        <w:tc>
          <w:tcPr>
            <w:tcW w:w="1555" w:type="dxa"/>
          </w:tcPr>
          <w:p w14:paraId="2E300C5C" w14:textId="77777777" w:rsidR="0034086E" w:rsidRPr="000D3DC5" w:rsidRDefault="0034086E" w:rsidP="001B1FEA">
            <w:pPr>
              <w:tabs>
                <w:tab w:val="right" w:pos="9180"/>
              </w:tabs>
            </w:pPr>
          </w:p>
        </w:tc>
        <w:tc>
          <w:tcPr>
            <w:tcW w:w="1800" w:type="dxa"/>
          </w:tcPr>
          <w:p w14:paraId="0456EDCE" w14:textId="77777777" w:rsidR="0034086E" w:rsidRPr="000D3DC5" w:rsidRDefault="0034086E" w:rsidP="001B1FEA">
            <w:pPr>
              <w:tabs>
                <w:tab w:val="decimal" w:pos="1044"/>
                <w:tab w:val="right" w:pos="9180"/>
              </w:tabs>
            </w:pPr>
          </w:p>
        </w:tc>
        <w:tc>
          <w:tcPr>
            <w:tcW w:w="360" w:type="dxa"/>
          </w:tcPr>
          <w:p w14:paraId="15EDBD26" w14:textId="77777777" w:rsidR="0034086E" w:rsidRPr="000D3DC5" w:rsidRDefault="0034086E" w:rsidP="001B1FEA">
            <w:pPr>
              <w:tabs>
                <w:tab w:val="right" w:pos="9180"/>
              </w:tabs>
            </w:pPr>
          </w:p>
        </w:tc>
        <w:tc>
          <w:tcPr>
            <w:tcW w:w="1620" w:type="dxa"/>
          </w:tcPr>
          <w:p w14:paraId="5C7E0EF4" w14:textId="77777777" w:rsidR="0034086E" w:rsidRPr="000D3DC5" w:rsidRDefault="0034086E" w:rsidP="001B1FEA">
            <w:pPr>
              <w:tabs>
                <w:tab w:val="decimal" w:pos="1044"/>
                <w:tab w:val="right" w:pos="9180"/>
              </w:tabs>
            </w:pPr>
          </w:p>
        </w:tc>
      </w:tr>
      <w:tr w:rsidR="0034086E" w:rsidRPr="000D3DC5" w14:paraId="171AD0F1" w14:textId="77777777" w:rsidTr="001B1FEA">
        <w:tc>
          <w:tcPr>
            <w:tcW w:w="378" w:type="dxa"/>
          </w:tcPr>
          <w:p w14:paraId="758AA46B" w14:textId="77777777" w:rsidR="0034086E" w:rsidRPr="000D3DC5" w:rsidRDefault="0034086E" w:rsidP="001B1FEA"/>
        </w:tc>
        <w:tc>
          <w:tcPr>
            <w:tcW w:w="4475" w:type="dxa"/>
            <w:gridSpan w:val="6"/>
          </w:tcPr>
          <w:p w14:paraId="62D294FB" w14:textId="77777777" w:rsidR="0034086E" w:rsidRPr="000D3DC5" w:rsidRDefault="0034086E" w:rsidP="001B1FEA">
            <w:r w:rsidRPr="000D3DC5">
              <w:t xml:space="preserve">  used in operating activities:</w:t>
            </w:r>
          </w:p>
        </w:tc>
        <w:tc>
          <w:tcPr>
            <w:tcW w:w="1555" w:type="dxa"/>
          </w:tcPr>
          <w:p w14:paraId="43AA419E" w14:textId="77777777" w:rsidR="0034086E" w:rsidRPr="000D3DC5" w:rsidRDefault="0034086E" w:rsidP="001B1FEA">
            <w:pPr>
              <w:tabs>
                <w:tab w:val="right" w:pos="9180"/>
              </w:tabs>
            </w:pPr>
          </w:p>
        </w:tc>
        <w:tc>
          <w:tcPr>
            <w:tcW w:w="1800" w:type="dxa"/>
          </w:tcPr>
          <w:p w14:paraId="75A41B78" w14:textId="77777777" w:rsidR="0034086E" w:rsidRPr="000D3DC5" w:rsidRDefault="0034086E" w:rsidP="001B1FEA">
            <w:pPr>
              <w:tabs>
                <w:tab w:val="decimal" w:pos="1044"/>
                <w:tab w:val="right" w:pos="9180"/>
              </w:tabs>
            </w:pPr>
          </w:p>
        </w:tc>
        <w:tc>
          <w:tcPr>
            <w:tcW w:w="360" w:type="dxa"/>
          </w:tcPr>
          <w:p w14:paraId="33BEB8F7" w14:textId="77777777" w:rsidR="0034086E" w:rsidRPr="000D3DC5" w:rsidRDefault="0034086E" w:rsidP="001B1FEA">
            <w:pPr>
              <w:tabs>
                <w:tab w:val="right" w:pos="9180"/>
              </w:tabs>
            </w:pPr>
          </w:p>
        </w:tc>
        <w:tc>
          <w:tcPr>
            <w:tcW w:w="1620" w:type="dxa"/>
          </w:tcPr>
          <w:p w14:paraId="36CAA4A3" w14:textId="77777777" w:rsidR="0034086E" w:rsidRPr="000D3DC5" w:rsidRDefault="0034086E" w:rsidP="001B1FEA">
            <w:pPr>
              <w:tabs>
                <w:tab w:val="decimal" w:pos="1044"/>
                <w:tab w:val="right" w:pos="9180"/>
              </w:tabs>
            </w:pPr>
          </w:p>
        </w:tc>
      </w:tr>
      <w:tr w:rsidR="0034086E" w:rsidRPr="000D3DC5" w14:paraId="306FAF56" w14:textId="77777777" w:rsidTr="001B1FEA">
        <w:tc>
          <w:tcPr>
            <w:tcW w:w="378" w:type="dxa"/>
          </w:tcPr>
          <w:p w14:paraId="7ACE6B37" w14:textId="77777777" w:rsidR="0034086E" w:rsidRPr="000D3DC5" w:rsidRDefault="0034086E" w:rsidP="001B1FEA"/>
        </w:tc>
        <w:tc>
          <w:tcPr>
            <w:tcW w:w="425" w:type="dxa"/>
          </w:tcPr>
          <w:p w14:paraId="5BF409A0" w14:textId="77777777" w:rsidR="0034086E" w:rsidRPr="000D3DC5" w:rsidRDefault="0034086E" w:rsidP="001B1FEA"/>
        </w:tc>
        <w:tc>
          <w:tcPr>
            <w:tcW w:w="4050" w:type="dxa"/>
            <w:gridSpan w:val="5"/>
          </w:tcPr>
          <w:p w14:paraId="3C2227A7" w14:textId="77777777" w:rsidR="0034086E" w:rsidRPr="000D3DC5" w:rsidRDefault="0034086E" w:rsidP="001B1FEA">
            <w:r w:rsidRPr="000D3DC5">
              <w:t>Depreciation and amortization</w:t>
            </w:r>
          </w:p>
        </w:tc>
        <w:tc>
          <w:tcPr>
            <w:tcW w:w="1555" w:type="dxa"/>
          </w:tcPr>
          <w:p w14:paraId="0557F40F" w14:textId="77777777" w:rsidR="0034086E" w:rsidRPr="000D3DC5" w:rsidRDefault="0034086E" w:rsidP="001B1FEA">
            <w:pPr>
              <w:tabs>
                <w:tab w:val="right" w:pos="9180"/>
              </w:tabs>
            </w:pPr>
          </w:p>
        </w:tc>
        <w:tc>
          <w:tcPr>
            <w:tcW w:w="1800" w:type="dxa"/>
          </w:tcPr>
          <w:p w14:paraId="1A3A9461" w14:textId="505E55F8" w:rsidR="0034086E" w:rsidRPr="000D3DC5" w:rsidRDefault="0034086E" w:rsidP="001B1FEA">
            <w:pPr>
              <w:tabs>
                <w:tab w:val="decimal" w:pos="1332"/>
                <w:tab w:val="right" w:pos="9180"/>
              </w:tabs>
            </w:pPr>
            <w:r>
              <w:tab/>
            </w:r>
            <w:r w:rsidR="00054F5F">
              <w:t>42,213</w:t>
            </w:r>
          </w:p>
        </w:tc>
        <w:tc>
          <w:tcPr>
            <w:tcW w:w="360" w:type="dxa"/>
          </w:tcPr>
          <w:p w14:paraId="545B182A" w14:textId="77777777" w:rsidR="0034086E" w:rsidRPr="000D3DC5" w:rsidRDefault="0034086E" w:rsidP="001B1FEA">
            <w:pPr>
              <w:tabs>
                <w:tab w:val="right" w:pos="9180"/>
              </w:tabs>
            </w:pPr>
          </w:p>
        </w:tc>
        <w:tc>
          <w:tcPr>
            <w:tcW w:w="1620" w:type="dxa"/>
          </w:tcPr>
          <w:p w14:paraId="45BAF5AC" w14:textId="39AB6536" w:rsidR="0034086E" w:rsidRPr="000D3DC5" w:rsidRDefault="0034086E" w:rsidP="001B1FEA">
            <w:pPr>
              <w:tabs>
                <w:tab w:val="decimal" w:pos="1152"/>
                <w:tab w:val="right" w:pos="9180"/>
              </w:tabs>
            </w:pPr>
            <w:r>
              <w:tab/>
            </w:r>
            <w:r w:rsidR="00BE1412">
              <w:t>26,806</w:t>
            </w:r>
          </w:p>
        </w:tc>
      </w:tr>
      <w:tr w:rsidR="0034086E" w:rsidRPr="000D3DC5" w14:paraId="0ED456D7" w14:textId="77777777" w:rsidTr="001B1FEA">
        <w:tc>
          <w:tcPr>
            <w:tcW w:w="378" w:type="dxa"/>
          </w:tcPr>
          <w:p w14:paraId="47A646A4" w14:textId="77777777" w:rsidR="0034086E" w:rsidRPr="000D3DC5" w:rsidRDefault="0034086E" w:rsidP="001B1FEA"/>
        </w:tc>
        <w:tc>
          <w:tcPr>
            <w:tcW w:w="425" w:type="dxa"/>
          </w:tcPr>
          <w:p w14:paraId="50F0D798" w14:textId="77777777" w:rsidR="0034086E" w:rsidRPr="000D3DC5" w:rsidRDefault="0034086E" w:rsidP="001B1FEA"/>
        </w:tc>
        <w:tc>
          <w:tcPr>
            <w:tcW w:w="5605" w:type="dxa"/>
            <w:gridSpan w:val="6"/>
          </w:tcPr>
          <w:p w14:paraId="428BD024" w14:textId="5F34E57E" w:rsidR="0034086E" w:rsidRDefault="0034086E" w:rsidP="001B1FEA">
            <w:r>
              <w:t>Stock-based compensation expense</w:t>
            </w:r>
            <w:r w:rsidR="00BE1412">
              <w:t xml:space="preserve"> for employees and directors</w:t>
            </w:r>
          </w:p>
        </w:tc>
        <w:tc>
          <w:tcPr>
            <w:tcW w:w="1800" w:type="dxa"/>
          </w:tcPr>
          <w:p w14:paraId="08BCBA77" w14:textId="038CB4F4" w:rsidR="0034086E" w:rsidRPr="000D3DC5" w:rsidRDefault="0034086E" w:rsidP="001B1FEA">
            <w:pPr>
              <w:tabs>
                <w:tab w:val="decimal" w:pos="1332"/>
                <w:tab w:val="right" w:pos="9180"/>
              </w:tabs>
            </w:pPr>
            <w:r>
              <w:tab/>
            </w:r>
            <w:r w:rsidR="00054F5F">
              <w:t>570,573</w:t>
            </w:r>
          </w:p>
        </w:tc>
        <w:tc>
          <w:tcPr>
            <w:tcW w:w="360" w:type="dxa"/>
          </w:tcPr>
          <w:p w14:paraId="4B4A2259" w14:textId="77777777" w:rsidR="0034086E" w:rsidRPr="000D3DC5" w:rsidRDefault="0034086E" w:rsidP="001B1FEA">
            <w:pPr>
              <w:tabs>
                <w:tab w:val="right" w:pos="9180"/>
              </w:tabs>
            </w:pPr>
          </w:p>
        </w:tc>
        <w:tc>
          <w:tcPr>
            <w:tcW w:w="1620" w:type="dxa"/>
          </w:tcPr>
          <w:p w14:paraId="7614963B" w14:textId="42E7E74B" w:rsidR="0034086E" w:rsidRPr="000D3DC5" w:rsidRDefault="0034086E" w:rsidP="001B1FEA">
            <w:pPr>
              <w:tabs>
                <w:tab w:val="decimal" w:pos="1152"/>
                <w:tab w:val="right" w:pos="9180"/>
              </w:tabs>
            </w:pPr>
            <w:r>
              <w:tab/>
            </w:r>
            <w:r w:rsidR="008258F1">
              <w:t>1</w:t>
            </w:r>
            <w:r w:rsidR="00AB6F9C">
              <w:t>6</w:t>
            </w:r>
            <w:r w:rsidR="00BE1412">
              <w:t>8,570</w:t>
            </w:r>
          </w:p>
        </w:tc>
      </w:tr>
      <w:tr w:rsidR="0034086E" w:rsidRPr="000D3DC5" w14:paraId="24DC3DF4" w14:textId="77777777" w:rsidTr="001B1FEA">
        <w:tc>
          <w:tcPr>
            <w:tcW w:w="378" w:type="dxa"/>
          </w:tcPr>
          <w:p w14:paraId="03141DE5" w14:textId="77777777" w:rsidR="0034086E" w:rsidRPr="000D3DC5" w:rsidRDefault="0034086E" w:rsidP="001B1FEA"/>
        </w:tc>
        <w:tc>
          <w:tcPr>
            <w:tcW w:w="425" w:type="dxa"/>
          </w:tcPr>
          <w:p w14:paraId="35CB9EFA" w14:textId="77777777" w:rsidR="0034086E" w:rsidRPr="000D3DC5" w:rsidRDefault="0034086E" w:rsidP="001B1FEA"/>
        </w:tc>
        <w:tc>
          <w:tcPr>
            <w:tcW w:w="5605" w:type="dxa"/>
            <w:gridSpan w:val="6"/>
          </w:tcPr>
          <w:p w14:paraId="5F9EACEB" w14:textId="0772CFF9" w:rsidR="0034086E" w:rsidRDefault="00BE1412" w:rsidP="001B1FEA">
            <w:r>
              <w:t>Stock-based compensation expense for consultants</w:t>
            </w:r>
          </w:p>
        </w:tc>
        <w:tc>
          <w:tcPr>
            <w:tcW w:w="1800" w:type="dxa"/>
          </w:tcPr>
          <w:p w14:paraId="655CAAE1" w14:textId="60404128" w:rsidR="0034086E" w:rsidRDefault="0034086E" w:rsidP="001B1FEA">
            <w:pPr>
              <w:tabs>
                <w:tab w:val="decimal" w:pos="1332"/>
                <w:tab w:val="right" w:pos="9180"/>
              </w:tabs>
            </w:pPr>
            <w:r>
              <w:tab/>
            </w:r>
            <w:r w:rsidR="00054F5F">
              <w:t>80,322</w:t>
            </w:r>
          </w:p>
        </w:tc>
        <w:tc>
          <w:tcPr>
            <w:tcW w:w="360" w:type="dxa"/>
          </w:tcPr>
          <w:p w14:paraId="2F146F14" w14:textId="77777777" w:rsidR="0034086E" w:rsidRPr="000D3DC5" w:rsidRDefault="0034086E" w:rsidP="001B1FEA">
            <w:pPr>
              <w:tabs>
                <w:tab w:val="right" w:pos="9180"/>
              </w:tabs>
            </w:pPr>
          </w:p>
        </w:tc>
        <w:tc>
          <w:tcPr>
            <w:tcW w:w="1620" w:type="dxa"/>
          </w:tcPr>
          <w:p w14:paraId="3DF616FA" w14:textId="5E0E0FF3" w:rsidR="0034086E" w:rsidRDefault="0034086E" w:rsidP="001B1FEA">
            <w:pPr>
              <w:tabs>
                <w:tab w:val="decimal" w:pos="1152"/>
                <w:tab w:val="right" w:pos="9180"/>
              </w:tabs>
            </w:pPr>
            <w:r>
              <w:tab/>
            </w:r>
            <w:r w:rsidR="00BE1412">
              <w:t>80,733</w:t>
            </w:r>
          </w:p>
        </w:tc>
      </w:tr>
      <w:tr w:rsidR="00BE1412" w:rsidRPr="000D3DC5" w14:paraId="7F8F7E59" w14:textId="77777777" w:rsidTr="001B1FEA">
        <w:tc>
          <w:tcPr>
            <w:tcW w:w="378" w:type="dxa"/>
          </w:tcPr>
          <w:p w14:paraId="4874599F" w14:textId="77777777" w:rsidR="00BE1412" w:rsidRPr="000D3DC5" w:rsidRDefault="00BE1412" w:rsidP="001B1FEA"/>
        </w:tc>
        <w:tc>
          <w:tcPr>
            <w:tcW w:w="425" w:type="dxa"/>
          </w:tcPr>
          <w:p w14:paraId="329F012E" w14:textId="77777777" w:rsidR="00BE1412" w:rsidRPr="000D3DC5" w:rsidRDefault="00BE1412" w:rsidP="001B1FEA"/>
        </w:tc>
        <w:tc>
          <w:tcPr>
            <w:tcW w:w="5605" w:type="dxa"/>
            <w:gridSpan w:val="6"/>
          </w:tcPr>
          <w:p w14:paraId="18FD0214" w14:textId="20061082" w:rsidR="00BE1412" w:rsidRDefault="00BE1412" w:rsidP="001B1FEA">
            <w:r>
              <w:t>Warrant issued for technology license</w:t>
            </w:r>
          </w:p>
        </w:tc>
        <w:tc>
          <w:tcPr>
            <w:tcW w:w="1800" w:type="dxa"/>
          </w:tcPr>
          <w:p w14:paraId="3D456DDE" w14:textId="4D2D7AD1" w:rsidR="00BE1412" w:rsidRDefault="00BE1412" w:rsidP="001B1FEA">
            <w:pPr>
              <w:tabs>
                <w:tab w:val="decimal" w:pos="1332"/>
                <w:tab w:val="right" w:pos="9180"/>
              </w:tabs>
            </w:pPr>
            <w:r>
              <w:tab/>
              <w:t>-</w:t>
            </w:r>
          </w:p>
        </w:tc>
        <w:tc>
          <w:tcPr>
            <w:tcW w:w="360" w:type="dxa"/>
          </w:tcPr>
          <w:p w14:paraId="2B94A4C2" w14:textId="77777777" w:rsidR="00BE1412" w:rsidRPr="000D3DC5" w:rsidRDefault="00BE1412" w:rsidP="001B1FEA">
            <w:pPr>
              <w:tabs>
                <w:tab w:val="right" w:pos="9180"/>
              </w:tabs>
            </w:pPr>
          </w:p>
        </w:tc>
        <w:tc>
          <w:tcPr>
            <w:tcW w:w="1620" w:type="dxa"/>
          </w:tcPr>
          <w:p w14:paraId="0081686B" w14:textId="68C9ABB2" w:rsidR="00BE1412" w:rsidRDefault="00BE1412" w:rsidP="001B1FEA">
            <w:pPr>
              <w:tabs>
                <w:tab w:val="decimal" w:pos="1152"/>
                <w:tab w:val="right" w:pos="9180"/>
              </w:tabs>
            </w:pPr>
            <w:r>
              <w:tab/>
              <w:t>209,825</w:t>
            </w:r>
          </w:p>
        </w:tc>
      </w:tr>
      <w:tr w:rsidR="00BE1412" w:rsidRPr="000D3DC5" w14:paraId="417B84B8" w14:textId="77777777" w:rsidTr="001B1FEA">
        <w:tc>
          <w:tcPr>
            <w:tcW w:w="378" w:type="dxa"/>
          </w:tcPr>
          <w:p w14:paraId="2DBC9411" w14:textId="77777777" w:rsidR="00BE1412" w:rsidRPr="000D3DC5" w:rsidRDefault="00BE1412" w:rsidP="001B1FEA"/>
        </w:tc>
        <w:tc>
          <w:tcPr>
            <w:tcW w:w="425" w:type="dxa"/>
          </w:tcPr>
          <w:p w14:paraId="36892ED0" w14:textId="77777777" w:rsidR="00BE1412" w:rsidRPr="000D3DC5" w:rsidRDefault="00BE1412" w:rsidP="001B1FEA"/>
        </w:tc>
        <w:tc>
          <w:tcPr>
            <w:tcW w:w="5605" w:type="dxa"/>
            <w:gridSpan w:val="6"/>
          </w:tcPr>
          <w:p w14:paraId="47D5A4D9" w14:textId="0342CE8F" w:rsidR="00BE1412" w:rsidRDefault="00BE1412" w:rsidP="001B1FEA">
            <w:r>
              <w:t>Gain on debt extinguishment</w:t>
            </w:r>
          </w:p>
        </w:tc>
        <w:tc>
          <w:tcPr>
            <w:tcW w:w="1800" w:type="dxa"/>
          </w:tcPr>
          <w:p w14:paraId="6A21F704" w14:textId="1D658615" w:rsidR="00BE1412" w:rsidRDefault="00BE1412" w:rsidP="001B1FEA">
            <w:pPr>
              <w:tabs>
                <w:tab w:val="decimal" w:pos="1332"/>
                <w:tab w:val="right" w:pos="9180"/>
              </w:tabs>
            </w:pPr>
            <w:r>
              <w:tab/>
              <w:t>-</w:t>
            </w:r>
          </w:p>
        </w:tc>
        <w:tc>
          <w:tcPr>
            <w:tcW w:w="360" w:type="dxa"/>
          </w:tcPr>
          <w:p w14:paraId="340E3AA8" w14:textId="77777777" w:rsidR="00BE1412" w:rsidRPr="000D3DC5" w:rsidRDefault="00BE1412" w:rsidP="001B1FEA">
            <w:pPr>
              <w:tabs>
                <w:tab w:val="right" w:pos="9180"/>
              </w:tabs>
            </w:pPr>
          </w:p>
        </w:tc>
        <w:tc>
          <w:tcPr>
            <w:tcW w:w="1620" w:type="dxa"/>
          </w:tcPr>
          <w:p w14:paraId="20ED0F95" w14:textId="2901226D" w:rsidR="00BE1412" w:rsidRDefault="00BE1412" w:rsidP="001B1FEA">
            <w:pPr>
              <w:tabs>
                <w:tab w:val="decimal" w:pos="1152"/>
                <w:tab w:val="right" w:pos="9180"/>
              </w:tabs>
            </w:pPr>
            <w:r>
              <w:tab/>
              <w:t>(172,056)</w:t>
            </w:r>
          </w:p>
        </w:tc>
      </w:tr>
      <w:tr w:rsidR="0034086E" w:rsidRPr="000D3DC5" w14:paraId="15CBA7CC" w14:textId="77777777" w:rsidTr="001B1FEA">
        <w:tc>
          <w:tcPr>
            <w:tcW w:w="378" w:type="dxa"/>
          </w:tcPr>
          <w:p w14:paraId="304177E8" w14:textId="77777777" w:rsidR="0034086E" w:rsidRPr="000D3DC5" w:rsidRDefault="0034086E" w:rsidP="001B1FEA"/>
        </w:tc>
        <w:tc>
          <w:tcPr>
            <w:tcW w:w="425" w:type="dxa"/>
          </w:tcPr>
          <w:p w14:paraId="5AA1D6F2" w14:textId="77777777" w:rsidR="0034086E" w:rsidRPr="000D3DC5" w:rsidRDefault="0034086E" w:rsidP="001B1FEA"/>
        </w:tc>
        <w:tc>
          <w:tcPr>
            <w:tcW w:w="4050" w:type="dxa"/>
            <w:gridSpan w:val="5"/>
          </w:tcPr>
          <w:p w14:paraId="0DBFEFB0" w14:textId="77777777" w:rsidR="0034086E" w:rsidRPr="000D3DC5" w:rsidRDefault="0034086E" w:rsidP="001B1FEA">
            <w:r w:rsidRPr="000D3DC5">
              <w:t>Changes in assets and liabilities:</w:t>
            </w:r>
          </w:p>
        </w:tc>
        <w:tc>
          <w:tcPr>
            <w:tcW w:w="1555" w:type="dxa"/>
          </w:tcPr>
          <w:p w14:paraId="175AEA63" w14:textId="77777777" w:rsidR="0034086E" w:rsidRPr="000D3DC5" w:rsidRDefault="0034086E" w:rsidP="001B1FEA">
            <w:pPr>
              <w:tabs>
                <w:tab w:val="right" w:pos="9180"/>
              </w:tabs>
            </w:pPr>
          </w:p>
        </w:tc>
        <w:tc>
          <w:tcPr>
            <w:tcW w:w="1800" w:type="dxa"/>
          </w:tcPr>
          <w:p w14:paraId="15DE9B54" w14:textId="77777777" w:rsidR="0034086E" w:rsidRPr="000D3DC5" w:rsidRDefault="0034086E" w:rsidP="001B1FEA">
            <w:pPr>
              <w:tabs>
                <w:tab w:val="decimal" w:pos="1332"/>
                <w:tab w:val="right" w:pos="9180"/>
              </w:tabs>
            </w:pPr>
          </w:p>
        </w:tc>
        <w:tc>
          <w:tcPr>
            <w:tcW w:w="360" w:type="dxa"/>
          </w:tcPr>
          <w:p w14:paraId="17F9A44F" w14:textId="77777777" w:rsidR="0034086E" w:rsidRPr="000D3DC5" w:rsidRDefault="0034086E" w:rsidP="001B1FEA">
            <w:pPr>
              <w:tabs>
                <w:tab w:val="right" w:pos="9180"/>
              </w:tabs>
            </w:pPr>
          </w:p>
        </w:tc>
        <w:tc>
          <w:tcPr>
            <w:tcW w:w="1620" w:type="dxa"/>
          </w:tcPr>
          <w:p w14:paraId="5F21266A" w14:textId="77777777" w:rsidR="0034086E" w:rsidRPr="000D3DC5" w:rsidRDefault="0034086E" w:rsidP="001B1FEA">
            <w:pPr>
              <w:tabs>
                <w:tab w:val="decimal" w:pos="1152"/>
                <w:tab w:val="right" w:pos="9180"/>
              </w:tabs>
            </w:pPr>
          </w:p>
        </w:tc>
      </w:tr>
      <w:tr w:rsidR="0034086E" w:rsidRPr="000D3DC5" w14:paraId="2CF67C50" w14:textId="77777777" w:rsidTr="001B1FEA">
        <w:tc>
          <w:tcPr>
            <w:tcW w:w="378" w:type="dxa"/>
          </w:tcPr>
          <w:p w14:paraId="40F0F72E" w14:textId="77777777" w:rsidR="0034086E" w:rsidRPr="000D3DC5" w:rsidRDefault="0034086E" w:rsidP="001B1FEA"/>
        </w:tc>
        <w:tc>
          <w:tcPr>
            <w:tcW w:w="425" w:type="dxa"/>
          </w:tcPr>
          <w:p w14:paraId="774770C8" w14:textId="77777777" w:rsidR="0034086E" w:rsidRPr="000D3DC5" w:rsidRDefault="0034086E" w:rsidP="001B1FEA"/>
        </w:tc>
        <w:tc>
          <w:tcPr>
            <w:tcW w:w="385" w:type="dxa"/>
            <w:gridSpan w:val="2"/>
          </w:tcPr>
          <w:p w14:paraId="0ABE9707" w14:textId="77777777" w:rsidR="0034086E" w:rsidRPr="000D3DC5" w:rsidRDefault="0034086E" w:rsidP="001B1FEA"/>
        </w:tc>
        <w:tc>
          <w:tcPr>
            <w:tcW w:w="5220" w:type="dxa"/>
            <w:gridSpan w:val="4"/>
          </w:tcPr>
          <w:p w14:paraId="4CB4B073" w14:textId="77777777" w:rsidR="0034086E" w:rsidRPr="000D3DC5" w:rsidRDefault="0034086E" w:rsidP="001B1FEA">
            <w:pPr>
              <w:tabs>
                <w:tab w:val="right" w:pos="9180"/>
              </w:tabs>
            </w:pPr>
            <w:r>
              <w:t>Grant funds and other receivables</w:t>
            </w:r>
          </w:p>
        </w:tc>
        <w:tc>
          <w:tcPr>
            <w:tcW w:w="1800" w:type="dxa"/>
          </w:tcPr>
          <w:p w14:paraId="4AE1FB80" w14:textId="75814D50" w:rsidR="0034086E" w:rsidRDefault="0034086E" w:rsidP="001B1FEA">
            <w:pPr>
              <w:tabs>
                <w:tab w:val="decimal" w:pos="1332"/>
                <w:tab w:val="right" w:pos="9180"/>
              </w:tabs>
            </w:pPr>
            <w:r>
              <w:tab/>
            </w:r>
            <w:r w:rsidR="00054F5F">
              <w:t>49,006</w:t>
            </w:r>
          </w:p>
        </w:tc>
        <w:tc>
          <w:tcPr>
            <w:tcW w:w="360" w:type="dxa"/>
          </w:tcPr>
          <w:p w14:paraId="5A7A4187" w14:textId="77777777" w:rsidR="0034086E" w:rsidRPr="000D3DC5" w:rsidRDefault="0034086E" w:rsidP="001B1FEA">
            <w:pPr>
              <w:tabs>
                <w:tab w:val="right" w:pos="9180"/>
              </w:tabs>
            </w:pPr>
          </w:p>
        </w:tc>
        <w:tc>
          <w:tcPr>
            <w:tcW w:w="1620" w:type="dxa"/>
          </w:tcPr>
          <w:p w14:paraId="1F30C4B1" w14:textId="237C8D59" w:rsidR="0034086E" w:rsidRDefault="0034086E" w:rsidP="001B1FEA">
            <w:pPr>
              <w:tabs>
                <w:tab w:val="decimal" w:pos="1152"/>
                <w:tab w:val="right" w:pos="9180"/>
              </w:tabs>
            </w:pPr>
            <w:r>
              <w:tab/>
            </w:r>
            <w:r w:rsidR="008258F1">
              <w:t>182,663</w:t>
            </w:r>
          </w:p>
        </w:tc>
      </w:tr>
      <w:tr w:rsidR="0034086E" w:rsidRPr="000D3DC5" w14:paraId="687F69F6" w14:textId="77777777" w:rsidTr="001B1FEA">
        <w:tc>
          <w:tcPr>
            <w:tcW w:w="378" w:type="dxa"/>
          </w:tcPr>
          <w:p w14:paraId="070BE3E1" w14:textId="77777777" w:rsidR="0034086E" w:rsidRPr="000D3DC5" w:rsidRDefault="0034086E" w:rsidP="001B1FEA"/>
        </w:tc>
        <w:tc>
          <w:tcPr>
            <w:tcW w:w="425" w:type="dxa"/>
          </w:tcPr>
          <w:p w14:paraId="6E31E7E8" w14:textId="77777777" w:rsidR="0034086E" w:rsidRPr="000D3DC5" w:rsidRDefault="0034086E" w:rsidP="001B1FEA"/>
        </w:tc>
        <w:tc>
          <w:tcPr>
            <w:tcW w:w="385" w:type="dxa"/>
            <w:gridSpan w:val="2"/>
          </w:tcPr>
          <w:p w14:paraId="0B9A9FD4" w14:textId="77777777" w:rsidR="0034086E" w:rsidRPr="000D3DC5" w:rsidRDefault="0034086E" w:rsidP="001B1FEA"/>
        </w:tc>
        <w:tc>
          <w:tcPr>
            <w:tcW w:w="5220" w:type="dxa"/>
            <w:gridSpan w:val="4"/>
          </w:tcPr>
          <w:p w14:paraId="45F234E6" w14:textId="77777777" w:rsidR="0034086E" w:rsidRPr="000D3DC5" w:rsidRDefault="0034086E" w:rsidP="001B1FEA">
            <w:pPr>
              <w:tabs>
                <w:tab w:val="right" w:pos="9180"/>
              </w:tabs>
            </w:pPr>
            <w:r w:rsidRPr="000D3DC5">
              <w:t xml:space="preserve">Prepaid expenses </w:t>
            </w:r>
            <w:r>
              <w:t>and other current assets</w:t>
            </w:r>
          </w:p>
        </w:tc>
        <w:tc>
          <w:tcPr>
            <w:tcW w:w="1800" w:type="dxa"/>
          </w:tcPr>
          <w:p w14:paraId="77E42DD3" w14:textId="017BA433" w:rsidR="0034086E" w:rsidRPr="000D3DC5" w:rsidRDefault="0034086E" w:rsidP="001B1FEA">
            <w:pPr>
              <w:tabs>
                <w:tab w:val="decimal" w:pos="1332"/>
                <w:tab w:val="right" w:pos="9180"/>
              </w:tabs>
            </w:pPr>
            <w:r>
              <w:tab/>
            </w:r>
            <w:r w:rsidR="00054F5F">
              <w:t>(1,251,539)</w:t>
            </w:r>
          </w:p>
        </w:tc>
        <w:tc>
          <w:tcPr>
            <w:tcW w:w="360" w:type="dxa"/>
          </w:tcPr>
          <w:p w14:paraId="07BEE26E" w14:textId="77777777" w:rsidR="0034086E" w:rsidRPr="000D3DC5" w:rsidRDefault="0034086E" w:rsidP="001B1FEA">
            <w:pPr>
              <w:tabs>
                <w:tab w:val="right" w:pos="9180"/>
              </w:tabs>
            </w:pPr>
          </w:p>
        </w:tc>
        <w:tc>
          <w:tcPr>
            <w:tcW w:w="1620" w:type="dxa"/>
          </w:tcPr>
          <w:p w14:paraId="4101434B" w14:textId="3FBB5CCC" w:rsidR="0034086E" w:rsidRPr="000D3DC5" w:rsidRDefault="0034086E" w:rsidP="001B1FEA">
            <w:pPr>
              <w:tabs>
                <w:tab w:val="decimal" w:pos="1152"/>
                <w:tab w:val="right" w:pos="9180"/>
              </w:tabs>
            </w:pPr>
            <w:r>
              <w:tab/>
            </w:r>
            <w:r w:rsidR="00BE1412">
              <w:t>106,979</w:t>
            </w:r>
          </w:p>
        </w:tc>
      </w:tr>
      <w:tr w:rsidR="009B6B9A" w:rsidRPr="000D3DC5" w14:paraId="379CC29C" w14:textId="77777777" w:rsidTr="001B1FEA">
        <w:tc>
          <w:tcPr>
            <w:tcW w:w="378" w:type="dxa"/>
          </w:tcPr>
          <w:p w14:paraId="6D2739AC" w14:textId="77777777" w:rsidR="009B6B9A" w:rsidRPr="000D3DC5" w:rsidRDefault="009B6B9A" w:rsidP="001B1FEA"/>
        </w:tc>
        <w:tc>
          <w:tcPr>
            <w:tcW w:w="425" w:type="dxa"/>
          </w:tcPr>
          <w:p w14:paraId="14DC6DC1" w14:textId="77777777" w:rsidR="009B6B9A" w:rsidRPr="000D3DC5" w:rsidRDefault="009B6B9A" w:rsidP="001B1FEA"/>
        </w:tc>
        <w:tc>
          <w:tcPr>
            <w:tcW w:w="385" w:type="dxa"/>
            <w:gridSpan w:val="2"/>
          </w:tcPr>
          <w:p w14:paraId="676B38BD" w14:textId="77777777" w:rsidR="009B6B9A" w:rsidRPr="000D3DC5" w:rsidRDefault="009B6B9A" w:rsidP="001B1FEA"/>
        </w:tc>
        <w:tc>
          <w:tcPr>
            <w:tcW w:w="5220" w:type="dxa"/>
            <w:gridSpan w:val="4"/>
          </w:tcPr>
          <w:p w14:paraId="176C8A45" w14:textId="147A29C6" w:rsidR="009B6B9A" w:rsidRPr="000D3DC5" w:rsidRDefault="009B6B9A" w:rsidP="001B1FEA">
            <w:pPr>
              <w:tabs>
                <w:tab w:val="right" w:pos="9180"/>
              </w:tabs>
            </w:pPr>
            <w:r>
              <w:t>Deposits and other assets</w:t>
            </w:r>
          </w:p>
        </w:tc>
        <w:tc>
          <w:tcPr>
            <w:tcW w:w="1800" w:type="dxa"/>
          </w:tcPr>
          <w:p w14:paraId="3A014A37" w14:textId="58D1429A" w:rsidR="009B6B9A" w:rsidRDefault="009B6B9A" w:rsidP="001B1FEA">
            <w:pPr>
              <w:tabs>
                <w:tab w:val="decimal" w:pos="1332"/>
                <w:tab w:val="right" w:pos="9180"/>
              </w:tabs>
            </w:pPr>
            <w:r>
              <w:tab/>
            </w:r>
            <w:r w:rsidR="00054F5F">
              <w:t>(2,173,276)</w:t>
            </w:r>
          </w:p>
        </w:tc>
        <w:tc>
          <w:tcPr>
            <w:tcW w:w="360" w:type="dxa"/>
          </w:tcPr>
          <w:p w14:paraId="5E88EEF4" w14:textId="77777777" w:rsidR="009B6B9A" w:rsidRPr="000D3DC5" w:rsidRDefault="009B6B9A" w:rsidP="001B1FEA">
            <w:pPr>
              <w:tabs>
                <w:tab w:val="right" w:pos="9180"/>
              </w:tabs>
            </w:pPr>
          </w:p>
        </w:tc>
        <w:tc>
          <w:tcPr>
            <w:tcW w:w="1620" w:type="dxa"/>
          </w:tcPr>
          <w:p w14:paraId="4643F1B7" w14:textId="4C34B461" w:rsidR="009B6B9A" w:rsidRDefault="009B6B9A" w:rsidP="001B1FEA">
            <w:pPr>
              <w:tabs>
                <w:tab w:val="decimal" w:pos="1152"/>
                <w:tab w:val="right" w:pos="9180"/>
              </w:tabs>
            </w:pPr>
            <w:r>
              <w:tab/>
              <w:t>-</w:t>
            </w:r>
          </w:p>
        </w:tc>
      </w:tr>
      <w:tr w:rsidR="0034086E" w:rsidRPr="000D3DC5" w14:paraId="76275798" w14:textId="77777777" w:rsidTr="001B1FEA">
        <w:tc>
          <w:tcPr>
            <w:tcW w:w="378" w:type="dxa"/>
          </w:tcPr>
          <w:p w14:paraId="7B10FAC6" w14:textId="77777777" w:rsidR="0034086E" w:rsidRPr="000D3DC5" w:rsidRDefault="0034086E" w:rsidP="001B1FEA"/>
        </w:tc>
        <w:tc>
          <w:tcPr>
            <w:tcW w:w="425" w:type="dxa"/>
          </w:tcPr>
          <w:p w14:paraId="55717A29" w14:textId="77777777" w:rsidR="0034086E" w:rsidRPr="000D3DC5" w:rsidRDefault="0034086E" w:rsidP="001B1FEA"/>
        </w:tc>
        <w:tc>
          <w:tcPr>
            <w:tcW w:w="385" w:type="dxa"/>
            <w:gridSpan w:val="2"/>
          </w:tcPr>
          <w:p w14:paraId="7D685706" w14:textId="77777777" w:rsidR="0034086E" w:rsidRPr="000D3DC5" w:rsidRDefault="0034086E" w:rsidP="001B1FEA"/>
        </w:tc>
        <w:tc>
          <w:tcPr>
            <w:tcW w:w="5220" w:type="dxa"/>
            <w:gridSpan w:val="4"/>
          </w:tcPr>
          <w:p w14:paraId="26DF831B" w14:textId="77777777" w:rsidR="0034086E" w:rsidRPr="000D3DC5" w:rsidRDefault="0034086E" w:rsidP="001B1FEA">
            <w:pPr>
              <w:tabs>
                <w:tab w:val="right" w:pos="9180"/>
              </w:tabs>
            </w:pPr>
            <w:r>
              <w:t>Accounts payable and accrued expenses</w:t>
            </w:r>
          </w:p>
        </w:tc>
        <w:tc>
          <w:tcPr>
            <w:tcW w:w="1800" w:type="dxa"/>
          </w:tcPr>
          <w:p w14:paraId="67B57B72" w14:textId="0BCBAF04" w:rsidR="0034086E" w:rsidRDefault="0034086E" w:rsidP="001B1FEA">
            <w:pPr>
              <w:tabs>
                <w:tab w:val="decimal" w:pos="1332"/>
                <w:tab w:val="right" w:pos="9180"/>
              </w:tabs>
            </w:pPr>
            <w:r>
              <w:tab/>
            </w:r>
            <w:r w:rsidR="00054F5F">
              <w:t>(6</w:t>
            </w:r>
            <w:r w:rsidR="00142598">
              <w:t>4</w:t>
            </w:r>
            <w:r w:rsidR="00054F5F">
              <w:t>5,955)</w:t>
            </w:r>
          </w:p>
        </w:tc>
        <w:tc>
          <w:tcPr>
            <w:tcW w:w="360" w:type="dxa"/>
          </w:tcPr>
          <w:p w14:paraId="384DC00C" w14:textId="77777777" w:rsidR="0034086E" w:rsidRPr="000D3DC5" w:rsidRDefault="0034086E" w:rsidP="001B1FEA">
            <w:pPr>
              <w:tabs>
                <w:tab w:val="right" w:pos="9180"/>
              </w:tabs>
            </w:pPr>
          </w:p>
        </w:tc>
        <w:tc>
          <w:tcPr>
            <w:tcW w:w="1620" w:type="dxa"/>
          </w:tcPr>
          <w:p w14:paraId="19CD5AF6" w14:textId="68F19348" w:rsidR="0034086E" w:rsidRDefault="0034086E" w:rsidP="001B1FEA">
            <w:pPr>
              <w:tabs>
                <w:tab w:val="decimal" w:pos="1152"/>
                <w:tab w:val="right" w:pos="9180"/>
              </w:tabs>
            </w:pPr>
            <w:r>
              <w:tab/>
            </w:r>
            <w:r w:rsidR="008258F1">
              <w:t>(</w:t>
            </w:r>
            <w:r w:rsidR="002F3700">
              <w:t>289,477</w:t>
            </w:r>
            <w:r w:rsidR="008258F1">
              <w:t>)</w:t>
            </w:r>
          </w:p>
        </w:tc>
      </w:tr>
      <w:tr w:rsidR="0034086E" w:rsidRPr="000D3DC5" w14:paraId="58C7AB9A" w14:textId="77777777" w:rsidTr="001B1FEA">
        <w:tc>
          <w:tcPr>
            <w:tcW w:w="378" w:type="dxa"/>
          </w:tcPr>
          <w:p w14:paraId="5E586651" w14:textId="77777777" w:rsidR="0034086E" w:rsidRPr="000D3DC5" w:rsidRDefault="0034086E" w:rsidP="001B1FEA"/>
        </w:tc>
        <w:tc>
          <w:tcPr>
            <w:tcW w:w="425" w:type="dxa"/>
          </w:tcPr>
          <w:p w14:paraId="005A1443" w14:textId="77777777" w:rsidR="0034086E" w:rsidRPr="000D3DC5" w:rsidRDefault="0034086E" w:rsidP="001B1FEA"/>
        </w:tc>
        <w:tc>
          <w:tcPr>
            <w:tcW w:w="385" w:type="dxa"/>
            <w:gridSpan w:val="2"/>
          </w:tcPr>
          <w:p w14:paraId="1AC7F1DC" w14:textId="77777777" w:rsidR="0034086E" w:rsidRPr="000D3DC5" w:rsidRDefault="0034086E" w:rsidP="001B1FEA"/>
        </w:tc>
        <w:tc>
          <w:tcPr>
            <w:tcW w:w="3665" w:type="dxa"/>
            <w:gridSpan w:val="3"/>
          </w:tcPr>
          <w:p w14:paraId="03963C26" w14:textId="77777777" w:rsidR="0034086E" w:rsidRPr="000D3DC5" w:rsidRDefault="0034086E" w:rsidP="001B1FEA">
            <w:r w:rsidRPr="000D3DC5">
              <w:t>Total adjustments</w:t>
            </w:r>
          </w:p>
        </w:tc>
        <w:tc>
          <w:tcPr>
            <w:tcW w:w="1555" w:type="dxa"/>
          </w:tcPr>
          <w:p w14:paraId="358E3AA6" w14:textId="77777777" w:rsidR="0034086E" w:rsidRPr="000D3DC5" w:rsidRDefault="0034086E" w:rsidP="001B1FEA">
            <w:pPr>
              <w:tabs>
                <w:tab w:val="right" w:pos="9180"/>
              </w:tabs>
            </w:pPr>
          </w:p>
        </w:tc>
        <w:tc>
          <w:tcPr>
            <w:tcW w:w="1800" w:type="dxa"/>
            <w:tcBorders>
              <w:top w:val="single" w:sz="4" w:space="0" w:color="auto"/>
              <w:bottom w:val="single" w:sz="4" w:space="0" w:color="auto"/>
            </w:tcBorders>
          </w:tcPr>
          <w:p w14:paraId="2C6CB8AA" w14:textId="2005F117" w:rsidR="0034086E" w:rsidRPr="000D3DC5" w:rsidRDefault="0034086E" w:rsidP="001B1FEA">
            <w:pPr>
              <w:tabs>
                <w:tab w:val="decimal" w:pos="1332"/>
                <w:tab w:val="right" w:pos="9180"/>
              </w:tabs>
            </w:pPr>
            <w:r>
              <w:tab/>
            </w:r>
            <w:r w:rsidR="00054F5F">
              <w:t>(3,3</w:t>
            </w:r>
            <w:r w:rsidR="00142598">
              <w:t>2</w:t>
            </w:r>
            <w:r w:rsidR="00054F5F">
              <w:t>8,656)</w:t>
            </w:r>
          </w:p>
        </w:tc>
        <w:tc>
          <w:tcPr>
            <w:tcW w:w="360" w:type="dxa"/>
          </w:tcPr>
          <w:p w14:paraId="61F51ABC" w14:textId="77777777" w:rsidR="0034086E" w:rsidRPr="000D3DC5" w:rsidRDefault="0034086E" w:rsidP="001B1FEA">
            <w:pPr>
              <w:tabs>
                <w:tab w:val="right" w:pos="9180"/>
              </w:tabs>
            </w:pPr>
          </w:p>
        </w:tc>
        <w:tc>
          <w:tcPr>
            <w:tcW w:w="1620" w:type="dxa"/>
            <w:tcBorders>
              <w:top w:val="single" w:sz="4" w:space="0" w:color="auto"/>
              <w:bottom w:val="single" w:sz="4" w:space="0" w:color="auto"/>
            </w:tcBorders>
          </w:tcPr>
          <w:p w14:paraId="130F9B5B" w14:textId="2F109C2F" w:rsidR="0034086E" w:rsidRPr="000D3DC5" w:rsidRDefault="0034086E" w:rsidP="001B1FEA">
            <w:pPr>
              <w:tabs>
                <w:tab w:val="decimal" w:pos="1152"/>
                <w:tab w:val="right" w:pos="9180"/>
              </w:tabs>
            </w:pPr>
            <w:r>
              <w:tab/>
            </w:r>
            <w:r w:rsidR="002F3700">
              <w:t>314,043</w:t>
            </w:r>
          </w:p>
        </w:tc>
      </w:tr>
      <w:tr w:rsidR="0034086E" w:rsidRPr="000D3DC5" w14:paraId="6DD4D47A" w14:textId="77777777" w:rsidTr="001B1FEA">
        <w:tc>
          <w:tcPr>
            <w:tcW w:w="378" w:type="dxa"/>
          </w:tcPr>
          <w:p w14:paraId="7F0F1FF6" w14:textId="77777777" w:rsidR="0034086E" w:rsidRPr="000D3DC5" w:rsidRDefault="0034086E" w:rsidP="001B1FEA">
            <w:bookmarkStart w:id="17" w:name="_Hlk75513912"/>
          </w:p>
        </w:tc>
        <w:tc>
          <w:tcPr>
            <w:tcW w:w="4475" w:type="dxa"/>
            <w:gridSpan w:val="6"/>
          </w:tcPr>
          <w:p w14:paraId="024A2B97" w14:textId="77777777" w:rsidR="0034086E" w:rsidRPr="000D3DC5" w:rsidRDefault="0034086E" w:rsidP="001B1FEA">
            <w:r>
              <w:t>Net cash used in operating activities</w:t>
            </w:r>
          </w:p>
        </w:tc>
        <w:tc>
          <w:tcPr>
            <w:tcW w:w="1555" w:type="dxa"/>
          </w:tcPr>
          <w:p w14:paraId="7276DFD9" w14:textId="77777777" w:rsidR="0034086E" w:rsidRPr="000D3DC5" w:rsidRDefault="0034086E" w:rsidP="001B1FEA">
            <w:pPr>
              <w:tabs>
                <w:tab w:val="right" w:pos="9180"/>
              </w:tabs>
            </w:pPr>
          </w:p>
        </w:tc>
        <w:tc>
          <w:tcPr>
            <w:tcW w:w="1800" w:type="dxa"/>
            <w:tcBorders>
              <w:top w:val="single" w:sz="4" w:space="0" w:color="auto"/>
            </w:tcBorders>
          </w:tcPr>
          <w:p w14:paraId="5576772D" w14:textId="3695661D" w:rsidR="0034086E" w:rsidRDefault="0034086E" w:rsidP="001B1FEA">
            <w:pPr>
              <w:tabs>
                <w:tab w:val="decimal" w:pos="1332"/>
                <w:tab w:val="right" w:pos="9180"/>
              </w:tabs>
            </w:pPr>
            <w:r>
              <w:tab/>
            </w:r>
            <w:r w:rsidR="00054F5F">
              <w:t>(11,965,972)</w:t>
            </w:r>
          </w:p>
        </w:tc>
        <w:tc>
          <w:tcPr>
            <w:tcW w:w="360" w:type="dxa"/>
          </w:tcPr>
          <w:p w14:paraId="3CC6E71E" w14:textId="77777777" w:rsidR="0034086E" w:rsidRPr="000D3DC5" w:rsidRDefault="0034086E" w:rsidP="001B1FEA">
            <w:pPr>
              <w:tabs>
                <w:tab w:val="right" w:pos="9180"/>
              </w:tabs>
            </w:pPr>
          </w:p>
        </w:tc>
        <w:tc>
          <w:tcPr>
            <w:tcW w:w="1620" w:type="dxa"/>
            <w:tcBorders>
              <w:top w:val="single" w:sz="4" w:space="0" w:color="auto"/>
            </w:tcBorders>
          </w:tcPr>
          <w:p w14:paraId="359D47B6" w14:textId="705CB6C0" w:rsidR="0034086E" w:rsidRDefault="0034086E" w:rsidP="001B1FEA">
            <w:pPr>
              <w:tabs>
                <w:tab w:val="decimal" w:pos="1152"/>
                <w:tab w:val="right" w:pos="9180"/>
              </w:tabs>
            </w:pPr>
            <w:r>
              <w:tab/>
              <w:t>(</w:t>
            </w:r>
            <w:r w:rsidR="002F3700">
              <w:t>4,513,271</w:t>
            </w:r>
            <w:r>
              <w:t>)</w:t>
            </w:r>
          </w:p>
        </w:tc>
      </w:tr>
      <w:bookmarkEnd w:id="17"/>
      <w:tr w:rsidR="0034086E" w:rsidRPr="000D3DC5" w14:paraId="6FC27E93" w14:textId="77777777" w:rsidTr="001B1FEA">
        <w:tc>
          <w:tcPr>
            <w:tcW w:w="378" w:type="dxa"/>
          </w:tcPr>
          <w:p w14:paraId="18E8317A" w14:textId="77777777" w:rsidR="0034086E" w:rsidRPr="000D3DC5" w:rsidRDefault="0034086E" w:rsidP="001B1FEA"/>
        </w:tc>
        <w:tc>
          <w:tcPr>
            <w:tcW w:w="425" w:type="dxa"/>
          </w:tcPr>
          <w:p w14:paraId="1EBED131" w14:textId="77777777" w:rsidR="0034086E" w:rsidRPr="000D3DC5" w:rsidRDefault="0034086E" w:rsidP="001B1FEA"/>
        </w:tc>
        <w:tc>
          <w:tcPr>
            <w:tcW w:w="789" w:type="dxa"/>
            <w:gridSpan w:val="3"/>
          </w:tcPr>
          <w:p w14:paraId="196BFD4D" w14:textId="77777777" w:rsidR="0034086E" w:rsidRPr="000D3DC5" w:rsidRDefault="0034086E" w:rsidP="001B1FEA"/>
        </w:tc>
        <w:tc>
          <w:tcPr>
            <w:tcW w:w="620" w:type="dxa"/>
          </w:tcPr>
          <w:p w14:paraId="5EE124CC" w14:textId="77777777" w:rsidR="0034086E" w:rsidRPr="000D3DC5" w:rsidRDefault="0034086E" w:rsidP="001B1FEA"/>
        </w:tc>
        <w:tc>
          <w:tcPr>
            <w:tcW w:w="2641" w:type="dxa"/>
          </w:tcPr>
          <w:p w14:paraId="7E4D9E4A" w14:textId="77777777" w:rsidR="0034086E" w:rsidRPr="000D3DC5" w:rsidRDefault="0034086E" w:rsidP="001B1FEA"/>
        </w:tc>
        <w:tc>
          <w:tcPr>
            <w:tcW w:w="1555" w:type="dxa"/>
          </w:tcPr>
          <w:p w14:paraId="02BE8A94" w14:textId="77777777" w:rsidR="0034086E" w:rsidRPr="000D3DC5" w:rsidRDefault="0034086E" w:rsidP="001B1FEA">
            <w:pPr>
              <w:tabs>
                <w:tab w:val="right" w:pos="9180"/>
              </w:tabs>
            </w:pPr>
          </w:p>
        </w:tc>
        <w:tc>
          <w:tcPr>
            <w:tcW w:w="1800" w:type="dxa"/>
          </w:tcPr>
          <w:p w14:paraId="62D6EF75" w14:textId="77777777" w:rsidR="0034086E" w:rsidRPr="000D3DC5" w:rsidRDefault="0034086E" w:rsidP="001B1FEA">
            <w:pPr>
              <w:tabs>
                <w:tab w:val="decimal" w:pos="1044"/>
                <w:tab w:val="decimal" w:pos="1332"/>
                <w:tab w:val="right" w:pos="9180"/>
              </w:tabs>
            </w:pPr>
          </w:p>
        </w:tc>
        <w:tc>
          <w:tcPr>
            <w:tcW w:w="360" w:type="dxa"/>
          </w:tcPr>
          <w:p w14:paraId="6AAD5556" w14:textId="77777777" w:rsidR="0034086E" w:rsidRPr="000D3DC5" w:rsidRDefault="0034086E" w:rsidP="001B1FEA">
            <w:pPr>
              <w:tabs>
                <w:tab w:val="right" w:pos="9180"/>
              </w:tabs>
            </w:pPr>
          </w:p>
        </w:tc>
        <w:tc>
          <w:tcPr>
            <w:tcW w:w="1620" w:type="dxa"/>
          </w:tcPr>
          <w:p w14:paraId="16AFC26D" w14:textId="77777777" w:rsidR="0034086E" w:rsidRPr="000D3DC5" w:rsidRDefault="0034086E" w:rsidP="001B1FEA">
            <w:pPr>
              <w:tabs>
                <w:tab w:val="decimal" w:pos="1044"/>
                <w:tab w:val="right" w:pos="9180"/>
              </w:tabs>
            </w:pPr>
          </w:p>
        </w:tc>
      </w:tr>
      <w:tr w:rsidR="0034086E" w:rsidRPr="000D3DC5" w14:paraId="150762DF" w14:textId="77777777" w:rsidTr="001B1FEA">
        <w:tc>
          <w:tcPr>
            <w:tcW w:w="4853" w:type="dxa"/>
            <w:gridSpan w:val="7"/>
          </w:tcPr>
          <w:p w14:paraId="137EC956" w14:textId="77777777" w:rsidR="0034086E" w:rsidRPr="000D3DC5" w:rsidRDefault="0034086E" w:rsidP="001B1FEA">
            <w:r>
              <w:t>Cash flows from investing activities</w:t>
            </w:r>
          </w:p>
        </w:tc>
        <w:tc>
          <w:tcPr>
            <w:tcW w:w="1555" w:type="dxa"/>
          </w:tcPr>
          <w:p w14:paraId="01FEAC82" w14:textId="77777777" w:rsidR="0034086E" w:rsidRPr="000D3DC5" w:rsidRDefault="0034086E" w:rsidP="001B1FEA">
            <w:pPr>
              <w:tabs>
                <w:tab w:val="right" w:pos="9180"/>
              </w:tabs>
            </w:pPr>
          </w:p>
        </w:tc>
        <w:tc>
          <w:tcPr>
            <w:tcW w:w="1800" w:type="dxa"/>
          </w:tcPr>
          <w:p w14:paraId="222C968C" w14:textId="77777777" w:rsidR="0034086E" w:rsidRPr="000D3DC5" w:rsidRDefault="0034086E" w:rsidP="001B1FEA">
            <w:pPr>
              <w:tabs>
                <w:tab w:val="decimal" w:pos="1332"/>
                <w:tab w:val="right" w:pos="9180"/>
              </w:tabs>
            </w:pPr>
          </w:p>
        </w:tc>
        <w:tc>
          <w:tcPr>
            <w:tcW w:w="360" w:type="dxa"/>
          </w:tcPr>
          <w:p w14:paraId="23984FDB" w14:textId="77777777" w:rsidR="0034086E" w:rsidRPr="000D3DC5" w:rsidRDefault="0034086E" w:rsidP="001B1FEA">
            <w:pPr>
              <w:tabs>
                <w:tab w:val="right" w:pos="9180"/>
              </w:tabs>
            </w:pPr>
          </w:p>
        </w:tc>
        <w:tc>
          <w:tcPr>
            <w:tcW w:w="1620" w:type="dxa"/>
          </w:tcPr>
          <w:p w14:paraId="253C4A9E" w14:textId="77777777" w:rsidR="0034086E" w:rsidRPr="000D3DC5" w:rsidRDefault="0034086E" w:rsidP="001B1FEA">
            <w:pPr>
              <w:tabs>
                <w:tab w:val="decimal" w:pos="1152"/>
                <w:tab w:val="right" w:pos="9180"/>
              </w:tabs>
            </w:pPr>
          </w:p>
        </w:tc>
      </w:tr>
      <w:tr w:rsidR="0034086E" w:rsidRPr="000D3DC5" w14:paraId="545137F2" w14:textId="77777777" w:rsidTr="001B1FEA">
        <w:tc>
          <w:tcPr>
            <w:tcW w:w="378" w:type="dxa"/>
          </w:tcPr>
          <w:p w14:paraId="5768C5D3" w14:textId="77777777" w:rsidR="0034086E" w:rsidRPr="000D3DC5" w:rsidRDefault="0034086E" w:rsidP="001B1FEA"/>
        </w:tc>
        <w:tc>
          <w:tcPr>
            <w:tcW w:w="4475" w:type="dxa"/>
            <w:gridSpan w:val="6"/>
          </w:tcPr>
          <w:p w14:paraId="697A0E0F" w14:textId="77777777" w:rsidR="0034086E" w:rsidRPr="000D3DC5" w:rsidRDefault="0034086E" w:rsidP="001B1FEA">
            <w:r>
              <w:t>Purchase of equipment</w:t>
            </w:r>
          </w:p>
        </w:tc>
        <w:tc>
          <w:tcPr>
            <w:tcW w:w="1555" w:type="dxa"/>
          </w:tcPr>
          <w:p w14:paraId="0A7A508F" w14:textId="77777777" w:rsidR="0034086E" w:rsidRPr="000D3DC5" w:rsidRDefault="0034086E" w:rsidP="001B1FEA">
            <w:pPr>
              <w:tabs>
                <w:tab w:val="right" w:pos="9180"/>
              </w:tabs>
            </w:pPr>
          </w:p>
        </w:tc>
        <w:tc>
          <w:tcPr>
            <w:tcW w:w="1800" w:type="dxa"/>
            <w:tcBorders>
              <w:bottom w:val="single" w:sz="4" w:space="0" w:color="auto"/>
            </w:tcBorders>
          </w:tcPr>
          <w:p w14:paraId="11714223" w14:textId="55BAA7D1" w:rsidR="0034086E" w:rsidRDefault="0034086E" w:rsidP="001B1FEA">
            <w:pPr>
              <w:tabs>
                <w:tab w:val="decimal" w:pos="1332"/>
                <w:tab w:val="right" w:pos="9180"/>
              </w:tabs>
            </w:pPr>
            <w:r>
              <w:tab/>
            </w:r>
            <w:r w:rsidR="00054F5F">
              <w:t>(134,258)</w:t>
            </w:r>
          </w:p>
        </w:tc>
        <w:tc>
          <w:tcPr>
            <w:tcW w:w="360" w:type="dxa"/>
          </w:tcPr>
          <w:p w14:paraId="4102F76E" w14:textId="77777777" w:rsidR="0034086E" w:rsidRPr="000D3DC5" w:rsidRDefault="0034086E" w:rsidP="001B1FEA">
            <w:pPr>
              <w:pStyle w:val="ListParagraph"/>
              <w:numPr>
                <w:ilvl w:val="0"/>
                <w:numId w:val="6"/>
              </w:numPr>
              <w:tabs>
                <w:tab w:val="right" w:pos="9180"/>
              </w:tabs>
            </w:pPr>
          </w:p>
        </w:tc>
        <w:tc>
          <w:tcPr>
            <w:tcW w:w="1620" w:type="dxa"/>
            <w:tcBorders>
              <w:bottom w:val="single" w:sz="4" w:space="0" w:color="auto"/>
            </w:tcBorders>
          </w:tcPr>
          <w:p w14:paraId="29DB1213" w14:textId="77E7E4F4" w:rsidR="0034086E" w:rsidRDefault="0034086E" w:rsidP="001B1FEA">
            <w:pPr>
              <w:tabs>
                <w:tab w:val="decimal" w:pos="1152"/>
                <w:tab w:val="right" w:pos="9180"/>
              </w:tabs>
            </w:pPr>
            <w:r>
              <w:tab/>
            </w:r>
            <w:r w:rsidR="008258F1">
              <w:t>(</w:t>
            </w:r>
            <w:r w:rsidR="002F3700">
              <w:t>47,718</w:t>
            </w:r>
            <w:r w:rsidR="008258F1">
              <w:t>)</w:t>
            </w:r>
          </w:p>
        </w:tc>
      </w:tr>
      <w:tr w:rsidR="0034086E" w:rsidRPr="000D3DC5" w14:paraId="5F6D8FEA" w14:textId="77777777" w:rsidTr="001B1FEA">
        <w:tc>
          <w:tcPr>
            <w:tcW w:w="378" w:type="dxa"/>
          </w:tcPr>
          <w:p w14:paraId="4ADC1EF9" w14:textId="77777777" w:rsidR="0034086E" w:rsidRPr="000D3DC5" w:rsidRDefault="0034086E" w:rsidP="001B1FEA"/>
        </w:tc>
        <w:tc>
          <w:tcPr>
            <w:tcW w:w="4475" w:type="dxa"/>
            <w:gridSpan w:val="6"/>
          </w:tcPr>
          <w:p w14:paraId="799D0B0C" w14:textId="77777777" w:rsidR="0034086E" w:rsidRPr="000D3DC5" w:rsidRDefault="0034086E" w:rsidP="001B1FEA">
            <w:r>
              <w:t>Net cash used in investing activities</w:t>
            </w:r>
          </w:p>
        </w:tc>
        <w:tc>
          <w:tcPr>
            <w:tcW w:w="1555" w:type="dxa"/>
          </w:tcPr>
          <w:p w14:paraId="18BDCE56" w14:textId="77777777" w:rsidR="0034086E" w:rsidRPr="000D3DC5" w:rsidRDefault="0034086E" w:rsidP="001B1FEA">
            <w:pPr>
              <w:tabs>
                <w:tab w:val="right" w:pos="9180"/>
              </w:tabs>
            </w:pPr>
          </w:p>
        </w:tc>
        <w:tc>
          <w:tcPr>
            <w:tcW w:w="1800" w:type="dxa"/>
            <w:tcBorders>
              <w:top w:val="single" w:sz="4" w:space="0" w:color="auto"/>
            </w:tcBorders>
          </w:tcPr>
          <w:p w14:paraId="44A18033" w14:textId="5320831B" w:rsidR="0034086E" w:rsidRDefault="0034086E" w:rsidP="001B1FEA">
            <w:pPr>
              <w:tabs>
                <w:tab w:val="decimal" w:pos="1332"/>
                <w:tab w:val="right" w:pos="9180"/>
              </w:tabs>
            </w:pPr>
            <w:r>
              <w:tab/>
            </w:r>
            <w:r w:rsidR="00054F5F">
              <w:t>(134,258)</w:t>
            </w:r>
          </w:p>
        </w:tc>
        <w:tc>
          <w:tcPr>
            <w:tcW w:w="360" w:type="dxa"/>
          </w:tcPr>
          <w:p w14:paraId="02BFFEE5" w14:textId="77777777" w:rsidR="0034086E" w:rsidRPr="000D3DC5" w:rsidRDefault="0034086E" w:rsidP="001B1FEA">
            <w:pPr>
              <w:tabs>
                <w:tab w:val="right" w:pos="9180"/>
              </w:tabs>
            </w:pPr>
          </w:p>
        </w:tc>
        <w:tc>
          <w:tcPr>
            <w:tcW w:w="1620" w:type="dxa"/>
            <w:tcBorders>
              <w:top w:val="single" w:sz="4" w:space="0" w:color="auto"/>
            </w:tcBorders>
          </w:tcPr>
          <w:p w14:paraId="1AA24CEB" w14:textId="44A15157" w:rsidR="0034086E" w:rsidRDefault="0034086E" w:rsidP="001B1FEA">
            <w:pPr>
              <w:tabs>
                <w:tab w:val="decimal" w:pos="1152"/>
                <w:tab w:val="right" w:pos="9180"/>
              </w:tabs>
            </w:pPr>
            <w:r>
              <w:tab/>
            </w:r>
            <w:r w:rsidR="008258F1">
              <w:t>(</w:t>
            </w:r>
            <w:r w:rsidR="002F3700">
              <w:t>47,718</w:t>
            </w:r>
            <w:r w:rsidR="008258F1">
              <w:t>)</w:t>
            </w:r>
          </w:p>
        </w:tc>
      </w:tr>
      <w:tr w:rsidR="0034086E" w:rsidRPr="000D3DC5" w14:paraId="3C545F52" w14:textId="77777777" w:rsidTr="001B1FEA">
        <w:tc>
          <w:tcPr>
            <w:tcW w:w="378" w:type="dxa"/>
          </w:tcPr>
          <w:p w14:paraId="0936EBDD" w14:textId="77777777" w:rsidR="0034086E" w:rsidRPr="000D3DC5" w:rsidRDefault="0034086E" w:rsidP="001B1FEA"/>
        </w:tc>
        <w:tc>
          <w:tcPr>
            <w:tcW w:w="4475" w:type="dxa"/>
            <w:gridSpan w:val="6"/>
          </w:tcPr>
          <w:p w14:paraId="1B032753" w14:textId="77777777" w:rsidR="0034086E" w:rsidRDefault="0034086E" w:rsidP="001B1FEA"/>
        </w:tc>
        <w:tc>
          <w:tcPr>
            <w:tcW w:w="1555" w:type="dxa"/>
          </w:tcPr>
          <w:p w14:paraId="63084ACE" w14:textId="77777777" w:rsidR="0034086E" w:rsidRPr="000D3DC5" w:rsidRDefault="0034086E" w:rsidP="001B1FEA">
            <w:pPr>
              <w:tabs>
                <w:tab w:val="right" w:pos="9180"/>
              </w:tabs>
            </w:pPr>
          </w:p>
        </w:tc>
        <w:tc>
          <w:tcPr>
            <w:tcW w:w="1800" w:type="dxa"/>
          </w:tcPr>
          <w:p w14:paraId="502AAEC1" w14:textId="77777777" w:rsidR="0034086E" w:rsidRDefault="0034086E" w:rsidP="001B1FEA">
            <w:pPr>
              <w:tabs>
                <w:tab w:val="decimal" w:pos="1332"/>
                <w:tab w:val="right" w:pos="9180"/>
              </w:tabs>
            </w:pPr>
          </w:p>
        </w:tc>
        <w:tc>
          <w:tcPr>
            <w:tcW w:w="360" w:type="dxa"/>
          </w:tcPr>
          <w:p w14:paraId="107F0DDD" w14:textId="77777777" w:rsidR="0034086E" w:rsidRPr="000D3DC5" w:rsidRDefault="0034086E" w:rsidP="001B1FEA">
            <w:pPr>
              <w:tabs>
                <w:tab w:val="right" w:pos="9180"/>
              </w:tabs>
            </w:pPr>
          </w:p>
        </w:tc>
        <w:tc>
          <w:tcPr>
            <w:tcW w:w="1620" w:type="dxa"/>
          </w:tcPr>
          <w:p w14:paraId="75439267" w14:textId="77777777" w:rsidR="0034086E" w:rsidRDefault="0034086E" w:rsidP="001B1FEA">
            <w:pPr>
              <w:tabs>
                <w:tab w:val="decimal" w:pos="1152"/>
                <w:tab w:val="right" w:pos="9180"/>
              </w:tabs>
            </w:pPr>
          </w:p>
        </w:tc>
      </w:tr>
      <w:tr w:rsidR="0034086E" w:rsidRPr="000D3DC5" w14:paraId="550BA28F" w14:textId="77777777" w:rsidTr="001B1FEA">
        <w:tc>
          <w:tcPr>
            <w:tcW w:w="4853" w:type="dxa"/>
            <w:gridSpan w:val="7"/>
          </w:tcPr>
          <w:p w14:paraId="0BD9A7D5" w14:textId="77777777" w:rsidR="0034086E" w:rsidRPr="000D3DC5" w:rsidRDefault="0034086E" w:rsidP="001B1FEA">
            <w:r w:rsidRPr="000D3DC5">
              <w:t>Cash flows from financing activities:</w:t>
            </w:r>
          </w:p>
        </w:tc>
        <w:tc>
          <w:tcPr>
            <w:tcW w:w="1555" w:type="dxa"/>
          </w:tcPr>
          <w:p w14:paraId="38083E17" w14:textId="77777777" w:rsidR="0034086E" w:rsidRPr="000D3DC5" w:rsidRDefault="0034086E" w:rsidP="001B1FEA">
            <w:pPr>
              <w:tabs>
                <w:tab w:val="right" w:pos="9180"/>
              </w:tabs>
            </w:pPr>
          </w:p>
        </w:tc>
        <w:tc>
          <w:tcPr>
            <w:tcW w:w="1800" w:type="dxa"/>
          </w:tcPr>
          <w:p w14:paraId="2F42DC89" w14:textId="77777777" w:rsidR="0034086E" w:rsidRPr="000D3DC5" w:rsidRDefault="0034086E" w:rsidP="001B1FEA">
            <w:pPr>
              <w:tabs>
                <w:tab w:val="decimal" w:pos="1044"/>
                <w:tab w:val="decimal" w:pos="1332"/>
                <w:tab w:val="right" w:pos="9180"/>
              </w:tabs>
            </w:pPr>
          </w:p>
        </w:tc>
        <w:tc>
          <w:tcPr>
            <w:tcW w:w="360" w:type="dxa"/>
          </w:tcPr>
          <w:p w14:paraId="331347FD" w14:textId="77777777" w:rsidR="0034086E" w:rsidRPr="000D3DC5" w:rsidRDefault="0034086E" w:rsidP="001B1FEA">
            <w:pPr>
              <w:tabs>
                <w:tab w:val="right" w:pos="9180"/>
              </w:tabs>
            </w:pPr>
          </w:p>
        </w:tc>
        <w:tc>
          <w:tcPr>
            <w:tcW w:w="1620" w:type="dxa"/>
          </w:tcPr>
          <w:p w14:paraId="05BD950C" w14:textId="77777777" w:rsidR="0034086E" w:rsidRPr="000D3DC5" w:rsidRDefault="0034086E" w:rsidP="001B1FEA">
            <w:pPr>
              <w:tabs>
                <w:tab w:val="decimal" w:pos="1044"/>
                <w:tab w:val="right" w:pos="9180"/>
              </w:tabs>
            </w:pPr>
          </w:p>
        </w:tc>
      </w:tr>
      <w:tr w:rsidR="002F3700" w:rsidRPr="000D3DC5" w14:paraId="367BC5F9" w14:textId="77777777" w:rsidTr="00444821">
        <w:tc>
          <w:tcPr>
            <w:tcW w:w="378" w:type="dxa"/>
          </w:tcPr>
          <w:p w14:paraId="3A682071" w14:textId="77777777" w:rsidR="002F3700" w:rsidRPr="000D3DC5" w:rsidRDefault="002F3700" w:rsidP="001B1FEA"/>
        </w:tc>
        <w:tc>
          <w:tcPr>
            <w:tcW w:w="6030" w:type="dxa"/>
            <w:gridSpan w:val="7"/>
          </w:tcPr>
          <w:p w14:paraId="794BC471" w14:textId="18AF4E80" w:rsidR="002F3700" w:rsidRPr="000D3DC5" w:rsidRDefault="002F3700" w:rsidP="001B1FEA">
            <w:pPr>
              <w:tabs>
                <w:tab w:val="right" w:pos="9180"/>
              </w:tabs>
            </w:pPr>
            <w:r>
              <w:t>Net proceeds from sale of common stock and warrants</w:t>
            </w:r>
          </w:p>
        </w:tc>
        <w:tc>
          <w:tcPr>
            <w:tcW w:w="1800" w:type="dxa"/>
          </w:tcPr>
          <w:p w14:paraId="6ABC10E5" w14:textId="1DDE98A9" w:rsidR="002F3700" w:rsidRDefault="002F3700" w:rsidP="001B1FEA">
            <w:pPr>
              <w:tabs>
                <w:tab w:val="decimal" w:pos="1332"/>
                <w:tab w:val="right" w:pos="9180"/>
              </w:tabs>
            </w:pPr>
            <w:r>
              <w:tab/>
            </w:r>
            <w:r w:rsidR="00B238DD">
              <w:t>27,727,194</w:t>
            </w:r>
          </w:p>
        </w:tc>
        <w:tc>
          <w:tcPr>
            <w:tcW w:w="360" w:type="dxa"/>
          </w:tcPr>
          <w:p w14:paraId="4BE1061F" w14:textId="77777777" w:rsidR="002F3700" w:rsidRPr="000D3DC5" w:rsidRDefault="002F3700" w:rsidP="001B1FEA">
            <w:pPr>
              <w:pStyle w:val="ListParagraph"/>
              <w:numPr>
                <w:ilvl w:val="0"/>
                <w:numId w:val="6"/>
              </w:numPr>
              <w:tabs>
                <w:tab w:val="right" w:pos="9180"/>
              </w:tabs>
            </w:pPr>
          </w:p>
        </w:tc>
        <w:tc>
          <w:tcPr>
            <w:tcW w:w="1620" w:type="dxa"/>
          </w:tcPr>
          <w:p w14:paraId="12B4A071" w14:textId="4BD5F9C9" w:rsidR="002F3700" w:rsidRDefault="002F3700" w:rsidP="001B1FEA">
            <w:pPr>
              <w:tabs>
                <w:tab w:val="decimal" w:pos="1152"/>
                <w:tab w:val="right" w:pos="9180"/>
              </w:tabs>
            </w:pPr>
            <w:r>
              <w:tab/>
              <w:t>9,408,920</w:t>
            </w:r>
          </w:p>
        </w:tc>
      </w:tr>
      <w:tr w:rsidR="0034086E" w:rsidRPr="000D3DC5" w14:paraId="6CB12E1F" w14:textId="77777777" w:rsidTr="001B1FEA">
        <w:tc>
          <w:tcPr>
            <w:tcW w:w="378" w:type="dxa"/>
          </w:tcPr>
          <w:p w14:paraId="78A24E06" w14:textId="77777777" w:rsidR="0034086E" w:rsidRPr="000D3DC5" w:rsidRDefault="0034086E" w:rsidP="001B1FEA"/>
        </w:tc>
        <w:tc>
          <w:tcPr>
            <w:tcW w:w="4475" w:type="dxa"/>
            <w:gridSpan w:val="6"/>
          </w:tcPr>
          <w:p w14:paraId="05983677" w14:textId="77777777" w:rsidR="0034086E" w:rsidRDefault="0034086E" w:rsidP="001B1FEA">
            <w:r>
              <w:t>Net proceeds from warrant exercises</w:t>
            </w:r>
          </w:p>
        </w:tc>
        <w:tc>
          <w:tcPr>
            <w:tcW w:w="1555" w:type="dxa"/>
          </w:tcPr>
          <w:p w14:paraId="3B6E377E" w14:textId="77777777" w:rsidR="0034086E" w:rsidRPr="000D3DC5" w:rsidRDefault="0034086E" w:rsidP="001B1FEA">
            <w:pPr>
              <w:tabs>
                <w:tab w:val="right" w:pos="9180"/>
              </w:tabs>
            </w:pPr>
          </w:p>
        </w:tc>
        <w:tc>
          <w:tcPr>
            <w:tcW w:w="1800" w:type="dxa"/>
          </w:tcPr>
          <w:p w14:paraId="0E53A276" w14:textId="5E3C7F56" w:rsidR="0034086E" w:rsidRDefault="0034086E" w:rsidP="001B1FEA">
            <w:pPr>
              <w:tabs>
                <w:tab w:val="decimal" w:pos="1332"/>
                <w:tab w:val="right" w:pos="9180"/>
              </w:tabs>
            </w:pPr>
            <w:r>
              <w:tab/>
            </w:r>
            <w:r w:rsidR="00B238DD">
              <w:t>7,626,134</w:t>
            </w:r>
          </w:p>
        </w:tc>
        <w:tc>
          <w:tcPr>
            <w:tcW w:w="360" w:type="dxa"/>
          </w:tcPr>
          <w:p w14:paraId="398C397F" w14:textId="77777777" w:rsidR="0034086E" w:rsidRPr="000D3DC5" w:rsidRDefault="0034086E" w:rsidP="00592D98">
            <w:pPr>
              <w:tabs>
                <w:tab w:val="right" w:pos="9180"/>
              </w:tabs>
            </w:pPr>
          </w:p>
        </w:tc>
        <w:tc>
          <w:tcPr>
            <w:tcW w:w="1620" w:type="dxa"/>
          </w:tcPr>
          <w:p w14:paraId="5386928E" w14:textId="5CA16ABC" w:rsidR="0034086E" w:rsidRDefault="0034086E" w:rsidP="001B1FEA">
            <w:pPr>
              <w:tabs>
                <w:tab w:val="decimal" w:pos="1152"/>
                <w:tab w:val="right" w:pos="9180"/>
              </w:tabs>
            </w:pPr>
            <w:r>
              <w:tab/>
            </w:r>
            <w:r w:rsidR="002F3700">
              <w:t>3,404,156</w:t>
            </w:r>
          </w:p>
        </w:tc>
      </w:tr>
      <w:tr w:rsidR="0034086E" w:rsidRPr="000D3DC5" w14:paraId="0BBA5B8C" w14:textId="77777777" w:rsidTr="001B1FEA">
        <w:tc>
          <w:tcPr>
            <w:tcW w:w="378" w:type="dxa"/>
          </w:tcPr>
          <w:p w14:paraId="44DE5D93" w14:textId="77777777" w:rsidR="0034086E" w:rsidRPr="000D3DC5" w:rsidRDefault="0034086E" w:rsidP="001B1FEA"/>
        </w:tc>
        <w:tc>
          <w:tcPr>
            <w:tcW w:w="4475" w:type="dxa"/>
            <w:gridSpan w:val="6"/>
          </w:tcPr>
          <w:p w14:paraId="21B8A3BA" w14:textId="77777777" w:rsidR="0034086E" w:rsidRDefault="0034086E" w:rsidP="001B1FEA">
            <w:r>
              <w:t>Repurchase of preferred stock</w:t>
            </w:r>
          </w:p>
        </w:tc>
        <w:tc>
          <w:tcPr>
            <w:tcW w:w="1555" w:type="dxa"/>
          </w:tcPr>
          <w:p w14:paraId="436DC972" w14:textId="77777777" w:rsidR="0034086E" w:rsidRPr="000D3DC5" w:rsidRDefault="0034086E" w:rsidP="001B1FEA">
            <w:pPr>
              <w:tabs>
                <w:tab w:val="right" w:pos="9180"/>
              </w:tabs>
            </w:pPr>
          </w:p>
        </w:tc>
        <w:tc>
          <w:tcPr>
            <w:tcW w:w="1800" w:type="dxa"/>
          </w:tcPr>
          <w:p w14:paraId="65D60110" w14:textId="3C09016A" w:rsidR="0034086E" w:rsidRDefault="0034086E" w:rsidP="001B1FEA">
            <w:pPr>
              <w:tabs>
                <w:tab w:val="decimal" w:pos="1332"/>
                <w:tab w:val="right" w:pos="9180"/>
              </w:tabs>
            </w:pPr>
            <w:r>
              <w:tab/>
            </w:r>
            <w:r w:rsidR="00B91D47">
              <w:t>-</w:t>
            </w:r>
          </w:p>
        </w:tc>
        <w:tc>
          <w:tcPr>
            <w:tcW w:w="360" w:type="dxa"/>
          </w:tcPr>
          <w:p w14:paraId="5DF3BD2B" w14:textId="77777777" w:rsidR="0034086E" w:rsidRPr="000D3DC5" w:rsidRDefault="0034086E" w:rsidP="001B1FEA">
            <w:pPr>
              <w:pStyle w:val="ListParagraph"/>
              <w:numPr>
                <w:ilvl w:val="0"/>
                <w:numId w:val="6"/>
              </w:numPr>
              <w:tabs>
                <w:tab w:val="right" w:pos="9180"/>
              </w:tabs>
            </w:pPr>
          </w:p>
        </w:tc>
        <w:tc>
          <w:tcPr>
            <w:tcW w:w="1620" w:type="dxa"/>
          </w:tcPr>
          <w:p w14:paraId="6AAD0C36" w14:textId="54006731" w:rsidR="0034086E" w:rsidRDefault="0034086E" w:rsidP="001B1FEA">
            <w:pPr>
              <w:tabs>
                <w:tab w:val="decimal" w:pos="1152"/>
                <w:tab w:val="right" w:pos="9180"/>
              </w:tabs>
            </w:pPr>
            <w:r>
              <w:tab/>
            </w:r>
            <w:r w:rsidR="008258F1">
              <w:t>(1,000)</w:t>
            </w:r>
          </w:p>
        </w:tc>
      </w:tr>
      <w:tr w:rsidR="0034086E" w:rsidRPr="000D3DC5" w14:paraId="6522A08C" w14:textId="77777777" w:rsidTr="001B1FEA">
        <w:tc>
          <w:tcPr>
            <w:tcW w:w="378" w:type="dxa"/>
          </w:tcPr>
          <w:p w14:paraId="0756BADE" w14:textId="77777777" w:rsidR="0034086E" w:rsidRPr="000D3DC5" w:rsidRDefault="0034086E" w:rsidP="001B1FEA"/>
        </w:tc>
        <w:tc>
          <w:tcPr>
            <w:tcW w:w="4475" w:type="dxa"/>
            <w:gridSpan w:val="6"/>
          </w:tcPr>
          <w:p w14:paraId="254B822F" w14:textId="77777777" w:rsidR="0034086E" w:rsidRPr="00E0298C" w:rsidRDefault="0034086E" w:rsidP="001B1FEA">
            <w:r w:rsidRPr="00E0298C">
              <w:t>Principal repayment of note payable</w:t>
            </w:r>
          </w:p>
        </w:tc>
        <w:tc>
          <w:tcPr>
            <w:tcW w:w="1555" w:type="dxa"/>
          </w:tcPr>
          <w:p w14:paraId="5CCE0D01" w14:textId="77777777" w:rsidR="0034086E" w:rsidRPr="00E0298C" w:rsidRDefault="0034086E" w:rsidP="001B1FEA">
            <w:pPr>
              <w:tabs>
                <w:tab w:val="right" w:pos="9180"/>
              </w:tabs>
            </w:pPr>
          </w:p>
        </w:tc>
        <w:tc>
          <w:tcPr>
            <w:tcW w:w="1800" w:type="dxa"/>
            <w:tcBorders>
              <w:bottom w:val="single" w:sz="4" w:space="0" w:color="auto"/>
            </w:tcBorders>
          </w:tcPr>
          <w:p w14:paraId="67D5C796" w14:textId="408807AA" w:rsidR="0034086E" w:rsidRPr="00E0298C" w:rsidRDefault="0034086E" w:rsidP="001B1FEA">
            <w:pPr>
              <w:tabs>
                <w:tab w:val="decimal" w:pos="1332"/>
                <w:tab w:val="right" w:pos="9180"/>
              </w:tabs>
            </w:pPr>
            <w:r w:rsidRPr="00E0298C">
              <w:tab/>
            </w:r>
            <w:r w:rsidR="00B91D47">
              <w:t>-</w:t>
            </w:r>
          </w:p>
        </w:tc>
        <w:tc>
          <w:tcPr>
            <w:tcW w:w="360" w:type="dxa"/>
          </w:tcPr>
          <w:p w14:paraId="0F56B8BC" w14:textId="77777777" w:rsidR="0034086E" w:rsidRPr="00E0298C" w:rsidRDefault="0034086E" w:rsidP="001B1FEA">
            <w:pPr>
              <w:pStyle w:val="ListParagraph"/>
              <w:numPr>
                <w:ilvl w:val="0"/>
                <w:numId w:val="6"/>
              </w:numPr>
              <w:tabs>
                <w:tab w:val="right" w:pos="9180"/>
              </w:tabs>
            </w:pPr>
          </w:p>
        </w:tc>
        <w:tc>
          <w:tcPr>
            <w:tcW w:w="1620" w:type="dxa"/>
            <w:tcBorders>
              <w:bottom w:val="single" w:sz="4" w:space="0" w:color="auto"/>
            </w:tcBorders>
          </w:tcPr>
          <w:p w14:paraId="0CF9C5B6" w14:textId="36E75382" w:rsidR="0034086E" w:rsidRDefault="0034086E" w:rsidP="001B1FEA">
            <w:pPr>
              <w:tabs>
                <w:tab w:val="decimal" w:pos="1152"/>
                <w:tab w:val="right" w:pos="9180"/>
              </w:tabs>
            </w:pPr>
            <w:r w:rsidRPr="00E0298C">
              <w:tab/>
            </w:r>
            <w:r>
              <w:t>(</w:t>
            </w:r>
            <w:r w:rsidR="008258F1">
              <w:t>27,864</w:t>
            </w:r>
            <w:r>
              <w:t>)</w:t>
            </w:r>
          </w:p>
        </w:tc>
      </w:tr>
      <w:tr w:rsidR="0034086E" w:rsidRPr="000D3DC5" w14:paraId="4549E0DD" w14:textId="77777777" w:rsidTr="001B1FEA">
        <w:tc>
          <w:tcPr>
            <w:tcW w:w="378" w:type="dxa"/>
          </w:tcPr>
          <w:p w14:paraId="7C75F4FF" w14:textId="77777777" w:rsidR="0034086E" w:rsidRPr="000D3DC5" w:rsidRDefault="0034086E" w:rsidP="001B1FEA"/>
        </w:tc>
        <w:tc>
          <w:tcPr>
            <w:tcW w:w="4475" w:type="dxa"/>
            <w:gridSpan w:val="6"/>
          </w:tcPr>
          <w:p w14:paraId="5444C82E" w14:textId="77777777" w:rsidR="0034086E" w:rsidRDefault="0034086E" w:rsidP="001B1FEA">
            <w:r>
              <w:t>Net cash provided by financing activities</w:t>
            </w:r>
          </w:p>
        </w:tc>
        <w:tc>
          <w:tcPr>
            <w:tcW w:w="1555" w:type="dxa"/>
          </w:tcPr>
          <w:p w14:paraId="6DC07C20" w14:textId="77777777" w:rsidR="0034086E" w:rsidRPr="000D3DC5" w:rsidRDefault="0034086E" w:rsidP="001B1FEA">
            <w:pPr>
              <w:tabs>
                <w:tab w:val="right" w:pos="9180"/>
              </w:tabs>
            </w:pPr>
          </w:p>
        </w:tc>
        <w:tc>
          <w:tcPr>
            <w:tcW w:w="1800" w:type="dxa"/>
            <w:tcBorders>
              <w:top w:val="single" w:sz="4" w:space="0" w:color="auto"/>
            </w:tcBorders>
          </w:tcPr>
          <w:p w14:paraId="0C66DBA7" w14:textId="6F74FAE1" w:rsidR="0034086E" w:rsidRDefault="0034086E" w:rsidP="001B1FEA">
            <w:pPr>
              <w:tabs>
                <w:tab w:val="decimal" w:pos="1332"/>
                <w:tab w:val="right" w:pos="9180"/>
              </w:tabs>
            </w:pPr>
            <w:r>
              <w:tab/>
            </w:r>
            <w:r w:rsidR="00B238DD">
              <w:t>35,353,328</w:t>
            </w:r>
          </w:p>
        </w:tc>
        <w:tc>
          <w:tcPr>
            <w:tcW w:w="360" w:type="dxa"/>
          </w:tcPr>
          <w:p w14:paraId="61054B3D" w14:textId="77777777" w:rsidR="0034086E" w:rsidRPr="000D3DC5" w:rsidRDefault="0034086E" w:rsidP="001B1FEA">
            <w:pPr>
              <w:pStyle w:val="ListParagraph"/>
              <w:numPr>
                <w:ilvl w:val="0"/>
                <w:numId w:val="6"/>
              </w:numPr>
              <w:tabs>
                <w:tab w:val="right" w:pos="9180"/>
              </w:tabs>
            </w:pPr>
          </w:p>
        </w:tc>
        <w:tc>
          <w:tcPr>
            <w:tcW w:w="1620" w:type="dxa"/>
            <w:tcBorders>
              <w:top w:val="single" w:sz="4" w:space="0" w:color="auto"/>
            </w:tcBorders>
          </w:tcPr>
          <w:p w14:paraId="23245E7F" w14:textId="67EA959E" w:rsidR="0034086E" w:rsidRDefault="0034086E" w:rsidP="001B1FEA">
            <w:pPr>
              <w:tabs>
                <w:tab w:val="decimal" w:pos="1152"/>
                <w:tab w:val="right" w:pos="9180"/>
              </w:tabs>
            </w:pPr>
            <w:r>
              <w:tab/>
              <w:t>1</w:t>
            </w:r>
            <w:r w:rsidR="008258F1">
              <w:t>2,</w:t>
            </w:r>
            <w:r w:rsidR="002F3700">
              <w:t>784,212</w:t>
            </w:r>
          </w:p>
        </w:tc>
      </w:tr>
      <w:tr w:rsidR="0034086E" w:rsidRPr="000D3DC5" w14:paraId="6DDC34F3" w14:textId="77777777" w:rsidTr="001B1FEA">
        <w:tc>
          <w:tcPr>
            <w:tcW w:w="378" w:type="dxa"/>
          </w:tcPr>
          <w:p w14:paraId="3E445700" w14:textId="77777777" w:rsidR="0034086E" w:rsidRPr="000D3DC5" w:rsidRDefault="0034086E" w:rsidP="001B1FEA"/>
        </w:tc>
        <w:tc>
          <w:tcPr>
            <w:tcW w:w="425" w:type="dxa"/>
          </w:tcPr>
          <w:p w14:paraId="5ECA773C" w14:textId="77777777" w:rsidR="0034086E" w:rsidRPr="000D3DC5" w:rsidRDefault="0034086E" w:rsidP="001B1FEA"/>
        </w:tc>
        <w:tc>
          <w:tcPr>
            <w:tcW w:w="789" w:type="dxa"/>
            <w:gridSpan w:val="3"/>
          </w:tcPr>
          <w:p w14:paraId="184D29A4" w14:textId="77777777" w:rsidR="0034086E" w:rsidRPr="000D3DC5" w:rsidRDefault="0034086E" w:rsidP="001B1FEA"/>
        </w:tc>
        <w:tc>
          <w:tcPr>
            <w:tcW w:w="620" w:type="dxa"/>
          </w:tcPr>
          <w:p w14:paraId="6343412F" w14:textId="77777777" w:rsidR="0034086E" w:rsidRPr="000D3DC5" w:rsidRDefault="0034086E" w:rsidP="001B1FEA"/>
        </w:tc>
        <w:tc>
          <w:tcPr>
            <w:tcW w:w="2641" w:type="dxa"/>
          </w:tcPr>
          <w:p w14:paraId="2628824A" w14:textId="77777777" w:rsidR="0034086E" w:rsidRPr="000D3DC5" w:rsidRDefault="0034086E" w:rsidP="001B1FEA"/>
        </w:tc>
        <w:tc>
          <w:tcPr>
            <w:tcW w:w="1555" w:type="dxa"/>
          </w:tcPr>
          <w:p w14:paraId="7B1B1F08" w14:textId="77777777" w:rsidR="0034086E" w:rsidRPr="000D3DC5" w:rsidRDefault="0034086E" w:rsidP="001B1FEA">
            <w:pPr>
              <w:tabs>
                <w:tab w:val="right" w:pos="9180"/>
              </w:tabs>
            </w:pPr>
          </w:p>
        </w:tc>
        <w:tc>
          <w:tcPr>
            <w:tcW w:w="1800" w:type="dxa"/>
            <w:tcBorders>
              <w:top w:val="single" w:sz="4" w:space="0" w:color="auto"/>
            </w:tcBorders>
          </w:tcPr>
          <w:p w14:paraId="5A82610D" w14:textId="77777777" w:rsidR="0034086E" w:rsidRPr="000D3DC5" w:rsidRDefault="0034086E" w:rsidP="001B1FEA">
            <w:pPr>
              <w:tabs>
                <w:tab w:val="decimal" w:pos="1332"/>
                <w:tab w:val="right" w:pos="9180"/>
              </w:tabs>
            </w:pPr>
          </w:p>
        </w:tc>
        <w:tc>
          <w:tcPr>
            <w:tcW w:w="360" w:type="dxa"/>
          </w:tcPr>
          <w:p w14:paraId="56D22655" w14:textId="77777777" w:rsidR="0034086E" w:rsidRPr="000D3DC5" w:rsidRDefault="0034086E" w:rsidP="001B1FEA">
            <w:pPr>
              <w:tabs>
                <w:tab w:val="right" w:pos="9180"/>
              </w:tabs>
            </w:pPr>
          </w:p>
        </w:tc>
        <w:tc>
          <w:tcPr>
            <w:tcW w:w="1620" w:type="dxa"/>
            <w:tcBorders>
              <w:top w:val="single" w:sz="4" w:space="0" w:color="auto"/>
            </w:tcBorders>
          </w:tcPr>
          <w:p w14:paraId="57157952" w14:textId="77777777" w:rsidR="0034086E" w:rsidRPr="000D3DC5" w:rsidRDefault="0034086E" w:rsidP="001B1FEA">
            <w:pPr>
              <w:tabs>
                <w:tab w:val="decimal" w:pos="1044"/>
                <w:tab w:val="right" w:pos="9180"/>
              </w:tabs>
            </w:pPr>
          </w:p>
        </w:tc>
      </w:tr>
      <w:tr w:rsidR="0034086E" w:rsidRPr="000D3DC5" w14:paraId="39A7886F" w14:textId="77777777" w:rsidTr="001B1FEA">
        <w:tc>
          <w:tcPr>
            <w:tcW w:w="6408" w:type="dxa"/>
            <w:gridSpan w:val="8"/>
          </w:tcPr>
          <w:p w14:paraId="33E83947" w14:textId="77777777" w:rsidR="0034086E" w:rsidRPr="000D3DC5" w:rsidRDefault="0034086E" w:rsidP="001B1FEA">
            <w:pPr>
              <w:tabs>
                <w:tab w:val="right" w:pos="9180"/>
              </w:tabs>
            </w:pPr>
            <w:r w:rsidRPr="000D3DC5">
              <w:t xml:space="preserve">Net </w:t>
            </w:r>
            <w:r>
              <w:t>increase</w:t>
            </w:r>
            <w:r w:rsidRPr="000D3DC5">
              <w:t xml:space="preserve"> in cash and cash equivalents</w:t>
            </w:r>
          </w:p>
        </w:tc>
        <w:tc>
          <w:tcPr>
            <w:tcW w:w="1800" w:type="dxa"/>
          </w:tcPr>
          <w:p w14:paraId="6EEA1AF4" w14:textId="5C5E1F31" w:rsidR="0034086E" w:rsidRPr="000D3DC5" w:rsidRDefault="0034086E" w:rsidP="001B1FEA">
            <w:pPr>
              <w:tabs>
                <w:tab w:val="decimal" w:pos="1332"/>
                <w:tab w:val="right" w:pos="9180"/>
              </w:tabs>
            </w:pPr>
            <w:r>
              <w:tab/>
            </w:r>
            <w:r w:rsidR="00EC0751">
              <w:t>23,253,098</w:t>
            </w:r>
          </w:p>
        </w:tc>
        <w:tc>
          <w:tcPr>
            <w:tcW w:w="360" w:type="dxa"/>
          </w:tcPr>
          <w:p w14:paraId="2618EB64" w14:textId="77777777" w:rsidR="0034086E" w:rsidRPr="000D3DC5" w:rsidRDefault="0034086E" w:rsidP="001B1FEA">
            <w:pPr>
              <w:tabs>
                <w:tab w:val="right" w:pos="9180"/>
              </w:tabs>
            </w:pPr>
          </w:p>
        </w:tc>
        <w:tc>
          <w:tcPr>
            <w:tcW w:w="1620" w:type="dxa"/>
          </w:tcPr>
          <w:p w14:paraId="250B32C5" w14:textId="0FD78DFE" w:rsidR="0034086E" w:rsidRPr="000D3DC5" w:rsidRDefault="0034086E" w:rsidP="001B1FEA">
            <w:pPr>
              <w:tabs>
                <w:tab w:val="decimal" w:pos="1152"/>
                <w:tab w:val="right" w:pos="9180"/>
              </w:tabs>
            </w:pPr>
            <w:r>
              <w:tab/>
            </w:r>
            <w:r w:rsidR="002F3700">
              <w:t>8,223,223</w:t>
            </w:r>
          </w:p>
        </w:tc>
      </w:tr>
      <w:tr w:rsidR="0034086E" w:rsidRPr="000D3DC5" w14:paraId="65DD2480" w14:textId="77777777" w:rsidTr="001B1FEA">
        <w:tc>
          <w:tcPr>
            <w:tcW w:w="6408" w:type="dxa"/>
            <w:gridSpan w:val="8"/>
          </w:tcPr>
          <w:p w14:paraId="6B29CE22" w14:textId="77777777" w:rsidR="0034086E" w:rsidRPr="000D3DC5" w:rsidRDefault="0034086E" w:rsidP="001B1FEA">
            <w:pPr>
              <w:tabs>
                <w:tab w:val="right" w:pos="9180"/>
              </w:tabs>
            </w:pPr>
            <w:r w:rsidRPr="000D3DC5">
              <w:t>Cash and cash equivalents at beginning of period</w:t>
            </w:r>
          </w:p>
        </w:tc>
        <w:tc>
          <w:tcPr>
            <w:tcW w:w="1800" w:type="dxa"/>
            <w:tcBorders>
              <w:bottom w:val="single" w:sz="4" w:space="0" w:color="auto"/>
            </w:tcBorders>
          </w:tcPr>
          <w:p w14:paraId="3DD5D6F4" w14:textId="3D53E22E" w:rsidR="0034086E" w:rsidRPr="000D3DC5" w:rsidRDefault="0034086E" w:rsidP="001B1FEA">
            <w:pPr>
              <w:tabs>
                <w:tab w:val="decimal" w:pos="1332"/>
                <w:tab w:val="right" w:pos="9180"/>
              </w:tabs>
            </w:pPr>
            <w:r>
              <w:tab/>
            </w:r>
            <w:r w:rsidR="00B91D47">
              <w:t>11,423,870</w:t>
            </w:r>
          </w:p>
        </w:tc>
        <w:tc>
          <w:tcPr>
            <w:tcW w:w="360" w:type="dxa"/>
          </w:tcPr>
          <w:p w14:paraId="4FA417FF" w14:textId="77777777" w:rsidR="0034086E" w:rsidRPr="000D3DC5" w:rsidRDefault="0034086E" w:rsidP="001B1FEA">
            <w:pPr>
              <w:tabs>
                <w:tab w:val="right" w:pos="9180"/>
              </w:tabs>
            </w:pPr>
          </w:p>
        </w:tc>
        <w:tc>
          <w:tcPr>
            <w:tcW w:w="1620" w:type="dxa"/>
            <w:tcBorders>
              <w:bottom w:val="single" w:sz="4" w:space="0" w:color="auto"/>
            </w:tcBorders>
          </w:tcPr>
          <w:p w14:paraId="653964CE" w14:textId="222D0654" w:rsidR="0034086E" w:rsidRPr="000D3DC5" w:rsidRDefault="0034086E" w:rsidP="001B1FEA">
            <w:pPr>
              <w:tabs>
                <w:tab w:val="decimal" w:pos="1152"/>
                <w:tab w:val="right" w:pos="9180"/>
              </w:tabs>
            </w:pPr>
            <w:r>
              <w:tab/>
            </w:r>
            <w:r w:rsidR="002F3700">
              <w:t>9,883,796</w:t>
            </w:r>
          </w:p>
        </w:tc>
      </w:tr>
      <w:tr w:rsidR="0034086E" w:rsidRPr="000D3DC5" w14:paraId="25E5F1AC" w14:textId="77777777" w:rsidTr="001B1FEA">
        <w:tc>
          <w:tcPr>
            <w:tcW w:w="378" w:type="dxa"/>
          </w:tcPr>
          <w:p w14:paraId="6FCE3164" w14:textId="77777777" w:rsidR="0034086E" w:rsidRPr="000D3DC5" w:rsidRDefault="0034086E" w:rsidP="001B1FEA"/>
        </w:tc>
        <w:tc>
          <w:tcPr>
            <w:tcW w:w="620" w:type="dxa"/>
            <w:gridSpan w:val="2"/>
          </w:tcPr>
          <w:p w14:paraId="5449C2F0" w14:textId="77777777" w:rsidR="0034086E" w:rsidRPr="000D3DC5" w:rsidRDefault="0034086E" w:rsidP="001B1FEA"/>
        </w:tc>
        <w:tc>
          <w:tcPr>
            <w:tcW w:w="594" w:type="dxa"/>
            <w:gridSpan w:val="2"/>
          </w:tcPr>
          <w:p w14:paraId="2CC84389" w14:textId="77777777" w:rsidR="0034086E" w:rsidRPr="000D3DC5" w:rsidRDefault="0034086E" w:rsidP="001B1FEA"/>
        </w:tc>
        <w:tc>
          <w:tcPr>
            <w:tcW w:w="620" w:type="dxa"/>
          </w:tcPr>
          <w:p w14:paraId="19D3AA26" w14:textId="77777777" w:rsidR="0034086E" w:rsidRPr="000D3DC5" w:rsidRDefault="0034086E" w:rsidP="001B1FEA"/>
        </w:tc>
        <w:tc>
          <w:tcPr>
            <w:tcW w:w="2641" w:type="dxa"/>
          </w:tcPr>
          <w:p w14:paraId="6833434D" w14:textId="77777777" w:rsidR="0034086E" w:rsidRPr="000D3DC5" w:rsidRDefault="0034086E" w:rsidP="001B1FEA"/>
        </w:tc>
        <w:tc>
          <w:tcPr>
            <w:tcW w:w="1555" w:type="dxa"/>
          </w:tcPr>
          <w:p w14:paraId="11A9D677" w14:textId="77777777" w:rsidR="0034086E" w:rsidRPr="000D3DC5" w:rsidRDefault="0034086E" w:rsidP="001B1FEA">
            <w:pPr>
              <w:tabs>
                <w:tab w:val="right" w:pos="9180"/>
              </w:tabs>
            </w:pPr>
          </w:p>
        </w:tc>
        <w:tc>
          <w:tcPr>
            <w:tcW w:w="1800" w:type="dxa"/>
            <w:tcBorders>
              <w:top w:val="single" w:sz="4" w:space="0" w:color="auto"/>
            </w:tcBorders>
          </w:tcPr>
          <w:p w14:paraId="3B953F84" w14:textId="77777777" w:rsidR="0034086E" w:rsidRPr="000D3DC5" w:rsidRDefault="0034086E" w:rsidP="001B1FEA">
            <w:pPr>
              <w:tabs>
                <w:tab w:val="decimal" w:pos="1044"/>
                <w:tab w:val="right" w:pos="9180"/>
              </w:tabs>
            </w:pPr>
          </w:p>
        </w:tc>
        <w:tc>
          <w:tcPr>
            <w:tcW w:w="360" w:type="dxa"/>
          </w:tcPr>
          <w:p w14:paraId="67B26BD7" w14:textId="77777777" w:rsidR="0034086E" w:rsidRPr="000D3DC5" w:rsidRDefault="0034086E" w:rsidP="001B1FEA">
            <w:pPr>
              <w:tabs>
                <w:tab w:val="right" w:pos="9180"/>
              </w:tabs>
            </w:pPr>
          </w:p>
        </w:tc>
        <w:tc>
          <w:tcPr>
            <w:tcW w:w="1620" w:type="dxa"/>
            <w:tcBorders>
              <w:top w:val="single" w:sz="4" w:space="0" w:color="auto"/>
            </w:tcBorders>
          </w:tcPr>
          <w:p w14:paraId="42DFFC7C" w14:textId="77777777" w:rsidR="0034086E" w:rsidRPr="000D3DC5" w:rsidRDefault="0034086E" w:rsidP="001B1FEA">
            <w:pPr>
              <w:tabs>
                <w:tab w:val="decimal" w:pos="1044"/>
                <w:tab w:val="right" w:pos="9180"/>
              </w:tabs>
            </w:pPr>
          </w:p>
        </w:tc>
      </w:tr>
      <w:tr w:rsidR="0034086E" w:rsidRPr="000D3DC5" w14:paraId="3964D5D4" w14:textId="77777777" w:rsidTr="001B1FEA">
        <w:tc>
          <w:tcPr>
            <w:tcW w:w="6408" w:type="dxa"/>
            <w:gridSpan w:val="8"/>
          </w:tcPr>
          <w:p w14:paraId="0175180C" w14:textId="77777777" w:rsidR="0034086E" w:rsidRPr="000D3DC5" w:rsidRDefault="0034086E" w:rsidP="001B1FEA">
            <w:pPr>
              <w:tabs>
                <w:tab w:val="right" w:pos="9180"/>
              </w:tabs>
            </w:pPr>
            <w:r w:rsidRPr="000D3DC5">
              <w:t>Cash and cash equivalents at end of period</w:t>
            </w:r>
          </w:p>
        </w:tc>
        <w:tc>
          <w:tcPr>
            <w:tcW w:w="1800" w:type="dxa"/>
            <w:tcBorders>
              <w:bottom w:val="double" w:sz="4" w:space="0" w:color="auto"/>
            </w:tcBorders>
          </w:tcPr>
          <w:p w14:paraId="04283F8F" w14:textId="388B0A91" w:rsidR="0034086E" w:rsidRPr="000D3DC5" w:rsidRDefault="0034086E" w:rsidP="001B1FEA">
            <w:pPr>
              <w:tabs>
                <w:tab w:val="decimal" w:pos="1332"/>
                <w:tab w:val="right" w:pos="9180"/>
              </w:tabs>
            </w:pPr>
            <w:r>
              <w:t>$</w:t>
            </w:r>
            <w:r>
              <w:tab/>
            </w:r>
            <w:r w:rsidR="00B238DD">
              <w:t>34,676,968</w:t>
            </w:r>
          </w:p>
        </w:tc>
        <w:tc>
          <w:tcPr>
            <w:tcW w:w="360" w:type="dxa"/>
          </w:tcPr>
          <w:p w14:paraId="171AF119" w14:textId="77777777" w:rsidR="0034086E" w:rsidRPr="000D3DC5" w:rsidRDefault="0034086E" w:rsidP="001B1FEA">
            <w:pPr>
              <w:tabs>
                <w:tab w:val="right" w:pos="9180"/>
              </w:tabs>
            </w:pPr>
          </w:p>
        </w:tc>
        <w:tc>
          <w:tcPr>
            <w:tcW w:w="1620" w:type="dxa"/>
            <w:tcBorders>
              <w:bottom w:val="double" w:sz="4" w:space="0" w:color="auto"/>
            </w:tcBorders>
          </w:tcPr>
          <w:p w14:paraId="7FA00821" w14:textId="56899542" w:rsidR="0034086E" w:rsidRPr="000D3DC5" w:rsidRDefault="0034086E" w:rsidP="001B1FEA">
            <w:pPr>
              <w:tabs>
                <w:tab w:val="decimal" w:pos="1152"/>
                <w:tab w:val="right" w:pos="9180"/>
              </w:tabs>
            </w:pPr>
            <w:r>
              <w:t>$</w:t>
            </w:r>
            <w:r>
              <w:tab/>
            </w:r>
            <w:r w:rsidR="002F3700">
              <w:t>18,107,019</w:t>
            </w:r>
          </w:p>
        </w:tc>
      </w:tr>
      <w:tr w:rsidR="0034086E" w:rsidRPr="000D3DC5" w14:paraId="22EC4E82" w14:textId="77777777" w:rsidTr="001B1FEA">
        <w:tc>
          <w:tcPr>
            <w:tcW w:w="378" w:type="dxa"/>
          </w:tcPr>
          <w:p w14:paraId="6C6BEB06" w14:textId="77777777" w:rsidR="0034086E" w:rsidRPr="000D3DC5" w:rsidRDefault="0034086E" w:rsidP="001B1FEA"/>
        </w:tc>
        <w:tc>
          <w:tcPr>
            <w:tcW w:w="620" w:type="dxa"/>
            <w:gridSpan w:val="2"/>
          </w:tcPr>
          <w:p w14:paraId="03242A30" w14:textId="77777777" w:rsidR="0034086E" w:rsidRPr="000D3DC5" w:rsidRDefault="0034086E" w:rsidP="001B1FEA"/>
        </w:tc>
        <w:tc>
          <w:tcPr>
            <w:tcW w:w="594" w:type="dxa"/>
            <w:gridSpan w:val="2"/>
          </w:tcPr>
          <w:p w14:paraId="1D732139" w14:textId="77777777" w:rsidR="0034086E" w:rsidRPr="000D3DC5" w:rsidRDefault="0034086E" w:rsidP="001B1FEA"/>
        </w:tc>
        <w:tc>
          <w:tcPr>
            <w:tcW w:w="620" w:type="dxa"/>
          </w:tcPr>
          <w:p w14:paraId="64CE3A82" w14:textId="77777777" w:rsidR="0034086E" w:rsidRPr="000D3DC5" w:rsidRDefault="0034086E" w:rsidP="001B1FEA"/>
        </w:tc>
        <w:tc>
          <w:tcPr>
            <w:tcW w:w="2641" w:type="dxa"/>
          </w:tcPr>
          <w:p w14:paraId="56A783E9" w14:textId="77777777" w:rsidR="0034086E" w:rsidRPr="000D3DC5" w:rsidRDefault="0034086E" w:rsidP="001B1FEA"/>
        </w:tc>
        <w:tc>
          <w:tcPr>
            <w:tcW w:w="1555" w:type="dxa"/>
          </w:tcPr>
          <w:p w14:paraId="737C770E" w14:textId="77777777" w:rsidR="0034086E" w:rsidRPr="000D3DC5" w:rsidRDefault="0034086E" w:rsidP="001B1FEA">
            <w:pPr>
              <w:tabs>
                <w:tab w:val="right" w:pos="9180"/>
              </w:tabs>
            </w:pPr>
          </w:p>
        </w:tc>
        <w:tc>
          <w:tcPr>
            <w:tcW w:w="1800" w:type="dxa"/>
          </w:tcPr>
          <w:p w14:paraId="08F04621" w14:textId="77777777" w:rsidR="0034086E" w:rsidRPr="000D3DC5" w:rsidRDefault="0034086E" w:rsidP="001B1FEA">
            <w:pPr>
              <w:tabs>
                <w:tab w:val="decimal" w:pos="1044"/>
                <w:tab w:val="right" w:pos="9180"/>
              </w:tabs>
            </w:pPr>
          </w:p>
        </w:tc>
        <w:tc>
          <w:tcPr>
            <w:tcW w:w="360" w:type="dxa"/>
          </w:tcPr>
          <w:p w14:paraId="04BF2527" w14:textId="77777777" w:rsidR="0034086E" w:rsidRPr="000D3DC5" w:rsidRDefault="0034086E" w:rsidP="001B1FEA">
            <w:pPr>
              <w:tabs>
                <w:tab w:val="right" w:pos="9180"/>
              </w:tabs>
            </w:pPr>
          </w:p>
        </w:tc>
        <w:tc>
          <w:tcPr>
            <w:tcW w:w="1620" w:type="dxa"/>
          </w:tcPr>
          <w:p w14:paraId="3400EF62" w14:textId="77777777" w:rsidR="0034086E" w:rsidRPr="000D3DC5" w:rsidRDefault="0034086E" w:rsidP="001B1FEA">
            <w:pPr>
              <w:tabs>
                <w:tab w:val="right" w:pos="9180"/>
              </w:tabs>
            </w:pPr>
          </w:p>
        </w:tc>
      </w:tr>
    </w:tbl>
    <w:p w14:paraId="5E8C84C7" w14:textId="77777777" w:rsidR="0034086E" w:rsidRDefault="0034086E" w:rsidP="0034086E"/>
    <w:p w14:paraId="4FCE9EEF" w14:textId="77777777" w:rsidR="0034086E" w:rsidRDefault="0034086E" w:rsidP="0034086E">
      <w:r w:rsidRPr="000D3DC5">
        <w:t xml:space="preserve">Supplemental disclosure of </w:t>
      </w:r>
      <w:r>
        <w:t>non-cash financing activities</w:t>
      </w:r>
      <w:r w:rsidRPr="000D3DC5">
        <w:t>:</w:t>
      </w:r>
    </w:p>
    <w:p w14:paraId="4A40C351" w14:textId="3B60429E" w:rsidR="0034086E" w:rsidRDefault="0034086E" w:rsidP="00282224">
      <w:pPr>
        <w:ind w:left="360"/>
      </w:pPr>
      <w:r>
        <w:t xml:space="preserve">During the </w:t>
      </w:r>
      <w:r w:rsidR="002F3700">
        <w:t>nine</w:t>
      </w:r>
      <w:r>
        <w:t xml:space="preserve"> months ended </w:t>
      </w:r>
      <w:r w:rsidR="002F3700">
        <w:t>September</w:t>
      </w:r>
      <w:r>
        <w:t xml:space="preserve"> 30, 2021, </w:t>
      </w:r>
      <w:r w:rsidR="0044760B">
        <w:t xml:space="preserve">we issued </w:t>
      </w:r>
      <w:r w:rsidR="00340889">
        <w:t>149,705</w:t>
      </w:r>
      <w:r>
        <w:t xml:space="preserve"> shares of common stock upon the cashless exercise of stock purchase warrants, and $172,056 of principal and accrued interest </w:t>
      </w:r>
      <w:r w:rsidR="00340889">
        <w:t>related to a note payable was extinguished</w:t>
      </w:r>
      <w:r>
        <w:t xml:space="preserve"> upon</w:t>
      </w:r>
      <w:r w:rsidR="00340889">
        <w:t xml:space="preserve"> the</w:t>
      </w:r>
      <w:r>
        <w:t xml:space="preserve"> loan</w:t>
      </w:r>
      <w:r w:rsidR="00340889">
        <w:t>’s</w:t>
      </w:r>
      <w:r>
        <w:t xml:space="preserve"> forgiveness</w:t>
      </w:r>
      <w:r w:rsidR="00282224">
        <w:t>.</w:t>
      </w:r>
    </w:p>
    <w:p w14:paraId="3191E905" w14:textId="77777777" w:rsidR="0034086E" w:rsidRDefault="0034086E" w:rsidP="0034086E"/>
    <w:p w14:paraId="7782D556" w14:textId="7107646B" w:rsidR="002D627A" w:rsidRDefault="002D627A" w:rsidP="002D627A">
      <w:pPr>
        <w:tabs>
          <w:tab w:val="left" w:pos="1080"/>
          <w:tab w:val="left" w:pos="1260"/>
          <w:tab w:val="left" w:pos="2340"/>
          <w:tab w:val="right" w:pos="9180"/>
        </w:tabs>
        <w:ind w:right="-360"/>
      </w:pPr>
    </w:p>
    <w:p w14:paraId="43A45D00" w14:textId="139093DB" w:rsidR="0034086E" w:rsidRDefault="0034086E" w:rsidP="002D627A">
      <w:pPr>
        <w:tabs>
          <w:tab w:val="left" w:pos="1080"/>
          <w:tab w:val="left" w:pos="1260"/>
          <w:tab w:val="left" w:pos="2340"/>
          <w:tab w:val="right" w:pos="9180"/>
        </w:tabs>
        <w:ind w:right="-360"/>
      </w:pPr>
    </w:p>
    <w:p w14:paraId="16D01D07" w14:textId="77777777" w:rsidR="00DF2BA6" w:rsidRDefault="00DF2BA6" w:rsidP="00277F5A"/>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184A9A71" w:rsidR="00277F5A" w:rsidRDefault="00DA08C0" w:rsidP="00277F5A">
      <w:pPr>
        <w:jc w:val="center"/>
        <w:rPr>
          <w:b/>
        </w:rPr>
      </w:pPr>
      <w:r>
        <w:rPr>
          <w:b/>
        </w:rPr>
        <w:t>September</w:t>
      </w:r>
      <w:r w:rsidR="00F415DC">
        <w:rPr>
          <w:b/>
        </w:rPr>
        <w:t xml:space="preserve"> 3</w:t>
      </w:r>
      <w:r w:rsidR="0074675D">
        <w:rPr>
          <w:b/>
        </w:rPr>
        <w:t>0</w:t>
      </w:r>
      <w:r w:rsidR="00277F5A" w:rsidRPr="001C6303">
        <w:rPr>
          <w:b/>
        </w:rPr>
        <w:t>, 20</w:t>
      </w:r>
      <w:r w:rsidR="00CE1FF4">
        <w:rPr>
          <w:b/>
        </w:rPr>
        <w:t>2</w:t>
      </w:r>
      <w:r w:rsidR="00A83961">
        <w:rPr>
          <w:b/>
        </w:rPr>
        <w:t>2</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462CF569" w:rsidR="00277F5A" w:rsidRPr="001C6303" w:rsidRDefault="00277F5A" w:rsidP="000A55AE">
      <w:pPr>
        <w:pStyle w:val="ListNumbering"/>
        <w:spacing w:after="0"/>
      </w:pPr>
      <w:r w:rsidRPr="001C6303">
        <w:t>1.</w:t>
      </w:r>
      <w:r w:rsidRPr="001C6303">
        <w:tab/>
      </w:r>
      <w:r w:rsidR="00282224">
        <w:t>Nature</w:t>
      </w:r>
      <w:r w:rsidRPr="001C6303">
        <w:t xml:space="preserve"> of </w:t>
      </w:r>
      <w:r w:rsidR="0034148D">
        <w:t>Business</w:t>
      </w:r>
      <w:r w:rsidRPr="001C6303">
        <w:t xml:space="preserve"> </w:t>
      </w:r>
    </w:p>
    <w:p w14:paraId="24E71BAC" w14:textId="77777777" w:rsidR="000A55AE" w:rsidRDefault="000A55AE" w:rsidP="000A55AE"/>
    <w:p w14:paraId="1D0F11CD" w14:textId="53DF0F68" w:rsidR="00146FFE" w:rsidRDefault="00A83961" w:rsidP="00A83961">
      <w:bookmarkStart w:id="18" w:name="_Hlk53502872"/>
      <w:r w:rsidRPr="00A83961">
        <w:t>GeoVax Labs, Inc</w:t>
      </w:r>
      <w:r w:rsidR="00146FFE">
        <w:t>., headquartered in</w:t>
      </w:r>
      <w:r w:rsidR="001C1459">
        <w:t xml:space="preserve"> the</w:t>
      </w:r>
      <w:r w:rsidR="00146FFE">
        <w:t xml:space="preserve"> Atlanta, Georgia</w:t>
      </w:r>
      <w:r w:rsidR="001C1459">
        <w:t xml:space="preserve"> metropolitan area</w:t>
      </w:r>
      <w:r w:rsidR="00146FFE">
        <w:t>,</w:t>
      </w:r>
      <w:r w:rsidRPr="00A83961">
        <w:t xml:space="preserve"> is a clinical-stage biotechnology company</w:t>
      </w:r>
      <w:r w:rsidR="003900DF">
        <w:t xml:space="preserve"> incorporated under the laws of the State of Delaware. GeoVax Labs, Inc. and its </w:t>
      </w:r>
      <w:r w:rsidR="005570D6">
        <w:t xml:space="preserve">wholly owned </w:t>
      </w:r>
      <w:r w:rsidR="003900DF">
        <w:t xml:space="preserve">subsidiary, GeoVax, Inc., a Georgia corporation, are collectively referred to as </w:t>
      </w:r>
      <w:r w:rsidR="00957C9A">
        <w:t xml:space="preserve">“GeoVax” or </w:t>
      </w:r>
      <w:r w:rsidR="003900DF">
        <w:t>the “Company”</w:t>
      </w:r>
      <w:r w:rsidR="00957C9A">
        <w:t>.</w:t>
      </w:r>
    </w:p>
    <w:p w14:paraId="0C514768" w14:textId="77777777" w:rsidR="00146FFE" w:rsidRDefault="00146FFE" w:rsidP="00A83961"/>
    <w:p w14:paraId="062FDF71" w14:textId="627AD70D" w:rsidR="00A83961" w:rsidRPr="00A83961" w:rsidRDefault="00957C9A" w:rsidP="00A83961">
      <w:r>
        <w:t xml:space="preserve">The Company is focused on </w:t>
      </w:r>
      <w:r w:rsidR="00A83961" w:rsidRPr="00A83961">
        <w:t xml:space="preserve">developing immunotherapies and vaccines against infectious diseases and cancers using novel vector vaccine platforms. </w:t>
      </w:r>
      <w:r w:rsidR="00A83961" w:rsidRPr="00A83961">
        <w:rPr>
          <w:bCs/>
        </w:rPr>
        <w:t>GeoVax’s product pipeline includes ongoing human clinical trials</w:t>
      </w:r>
      <w:r w:rsidR="00DA08C0">
        <w:rPr>
          <w:bCs/>
        </w:rPr>
        <w:t xml:space="preserve"> for vaccines against </w:t>
      </w:r>
      <w:r w:rsidR="00A83961" w:rsidRPr="00A83961">
        <w:rPr>
          <w:bCs/>
        </w:rPr>
        <w:t xml:space="preserve">COVID-19 and </w:t>
      </w:r>
      <w:r w:rsidR="00DA08C0">
        <w:rPr>
          <w:bCs/>
        </w:rPr>
        <w:t xml:space="preserve">a therapy for advanced </w:t>
      </w:r>
      <w:r w:rsidR="00A83961" w:rsidRPr="00A83961">
        <w:t>head and neck cancer. Additional research and development programs include preventive vaccines against hemorrhagic fever viruses (Ebola</w:t>
      </w:r>
      <w:r w:rsidR="00EB7808">
        <w:t xml:space="preserve"> Zaire</w:t>
      </w:r>
      <w:r w:rsidR="00A83961" w:rsidRPr="00A83961">
        <w:t xml:space="preserve">, </w:t>
      </w:r>
      <w:r w:rsidR="00EB7808">
        <w:t xml:space="preserve">Ebola </w:t>
      </w:r>
      <w:r w:rsidR="00A83961" w:rsidRPr="00A83961">
        <w:t>Sudan, Marburg, and Lassa</w:t>
      </w:r>
      <w:r w:rsidR="00EB7808">
        <w:t xml:space="preserve"> Fever</w:t>
      </w:r>
      <w:r w:rsidR="00A83961" w:rsidRPr="00A83961">
        <w:t xml:space="preserve">) and malaria, as well as immunotherapies for solid tumors. </w:t>
      </w:r>
    </w:p>
    <w:bookmarkEnd w:id="18"/>
    <w:p w14:paraId="19A94C94" w14:textId="77777777" w:rsidR="000A55AE" w:rsidRPr="000A55AE" w:rsidRDefault="000A55AE" w:rsidP="000A55AE"/>
    <w:p w14:paraId="1D261932" w14:textId="1D7964AA" w:rsidR="001939DD" w:rsidRPr="00161492" w:rsidRDefault="001939DD" w:rsidP="000A55AE">
      <w:pPr>
        <w:pStyle w:val="ListNumbering"/>
        <w:spacing w:after="0"/>
      </w:pPr>
      <w:r>
        <w:t>2</w:t>
      </w:r>
      <w:r w:rsidRPr="001C6303">
        <w:t>.</w:t>
      </w:r>
      <w:r w:rsidRPr="001C6303">
        <w:tab/>
      </w:r>
      <w:r w:rsidR="00307685">
        <w:t>Summary of Significant Accounting Policies</w:t>
      </w:r>
    </w:p>
    <w:p w14:paraId="6F4D8B74" w14:textId="530F58C8" w:rsidR="000A55AE" w:rsidRDefault="000A55AE" w:rsidP="000A55AE">
      <w:pPr>
        <w:pStyle w:val="BodyText"/>
        <w:spacing w:after="0"/>
      </w:pPr>
    </w:p>
    <w:p w14:paraId="0ECDDBA8" w14:textId="0DAE1A6E" w:rsidR="003463A0" w:rsidRDefault="003463A0" w:rsidP="000A55AE">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the year ended December 31, 2021</w:t>
      </w:r>
      <w:r w:rsidRPr="001C6303">
        <w:t xml:space="preserve"> those accounting policies that </w:t>
      </w:r>
      <w:r>
        <w:t>we consider</w:t>
      </w:r>
      <w:r w:rsidRPr="001C6303">
        <w:t xml:space="preserve"> significant in determining </w:t>
      </w:r>
      <w:r>
        <w:t>our</w:t>
      </w:r>
      <w:r w:rsidRPr="001C6303">
        <w:t xml:space="preserve"> results of oper</w:t>
      </w:r>
      <w:r>
        <w:t xml:space="preserve">ations and financial position. During the </w:t>
      </w:r>
      <w:r w:rsidR="00DA08C0">
        <w:t>nine</w:t>
      </w:r>
      <w:r>
        <w:t xml:space="preserve"> months ended </w:t>
      </w:r>
      <w:r w:rsidR="00DA08C0">
        <w:t>September</w:t>
      </w:r>
      <w:r>
        <w:t xml:space="preserve"> 30, 2022, t</w:t>
      </w:r>
      <w:r w:rsidRPr="001C6303">
        <w:t xml:space="preserve">here have been no material changes to, or in the application of, the accounting policies previously identified </w:t>
      </w:r>
      <w:r>
        <w:t>and described in the Form 10-K</w:t>
      </w:r>
      <w:r w:rsidR="009701F2">
        <w:t>.</w:t>
      </w:r>
    </w:p>
    <w:p w14:paraId="18A6068E" w14:textId="77777777" w:rsidR="003463A0" w:rsidRDefault="003463A0" w:rsidP="000A55AE">
      <w:pPr>
        <w:pStyle w:val="BodyText"/>
        <w:spacing w:after="0"/>
      </w:pPr>
    </w:p>
    <w:p w14:paraId="47F5FC58" w14:textId="717B1F25" w:rsidR="000F6A1C" w:rsidRPr="000F6A1C" w:rsidRDefault="00307685" w:rsidP="000F6A1C">
      <w:pPr>
        <w:pStyle w:val="BodyText"/>
        <w:spacing w:after="0"/>
        <w:rPr>
          <w:i/>
          <w:iCs/>
        </w:rPr>
      </w:pPr>
      <w:r w:rsidRPr="00307685">
        <w:rPr>
          <w:i/>
          <w:iCs/>
        </w:rPr>
        <w:t>Basis of Presentation</w:t>
      </w:r>
      <w:r>
        <w:rPr>
          <w:i/>
          <w:iCs/>
        </w:rPr>
        <w:t xml:space="preserve"> – </w:t>
      </w:r>
      <w:r w:rsidR="000F6A1C" w:rsidRPr="00A840E6">
        <w:t>The accompanying</w:t>
      </w:r>
      <w:r w:rsidR="000F6A1C" w:rsidRPr="001C6303">
        <w:t xml:space="preserve"> </w:t>
      </w:r>
      <w:r w:rsidR="000F6A1C">
        <w:t xml:space="preserve">condensed consolidated </w:t>
      </w:r>
      <w:r w:rsidR="000F6A1C" w:rsidRPr="001C6303">
        <w:t>financial statements</w:t>
      </w:r>
      <w:r w:rsidR="000F6A1C">
        <w:t xml:space="preserve"> include the accounts of </w:t>
      </w:r>
      <w:r w:rsidR="005570D6">
        <w:t>GeoVax Labs, Inc. and</w:t>
      </w:r>
      <w:r w:rsidR="000F6A1C">
        <w:t xml:space="preserve"> GeoVax, Inc. All intercompany transactions have been eliminated in consolidation. </w:t>
      </w:r>
      <w:r w:rsidR="005024A5" w:rsidRPr="00A840E6">
        <w:t xml:space="preserve">The </w:t>
      </w:r>
      <w:r w:rsidR="005024A5" w:rsidRPr="001C6303">
        <w:t xml:space="preserve">financial statements are unaudited, but include all adjustments, consisting of normal recurring entries, which we believe to be necessary for a fair presentation of </w:t>
      </w:r>
      <w:r w:rsidR="00306812">
        <w:t>interim</w:t>
      </w:r>
      <w:r w:rsidR="005024A5" w:rsidRPr="001C6303">
        <w:t xml:space="preserve"> periods presented.</w:t>
      </w:r>
      <w:r w:rsidR="007E7A7F">
        <w:t xml:space="preserve"> </w:t>
      </w:r>
      <w:r w:rsidR="005024A5" w:rsidRPr="001C6303">
        <w:t xml:space="preserve">Interim results are not necessarily indicative of results for a full year. The financial statements should be read in conjunction with our audited </w:t>
      </w:r>
      <w:r w:rsidR="00AD6B28">
        <w:t xml:space="preserve">consolidated </w:t>
      </w:r>
      <w:r w:rsidR="005024A5" w:rsidRPr="001C6303">
        <w:t xml:space="preserve">financial statements included in our Annual Report on Form 10-K for </w:t>
      </w:r>
      <w:r w:rsidR="00F415DC">
        <w:t>the year ended December 31, 20</w:t>
      </w:r>
      <w:r w:rsidR="00F06223">
        <w:t>2</w:t>
      </w:r>
      <w:r w:rsidR="00A83961">
        <w:t>1</w:t>
      </w:r>
      <w:r w:rsidR="0077213F">
        <w:t xml:space="preserve">. </w:t>
      </w:r>
      <w:r w:rsidR="005024A5">
        <w:t>We expect o</w:t>
      </w:r>
      <w:r w:rsidR="005024A5" w:rsidRPr="001C6303">
        <w:t>ur operating results to fluctua</w:t>
      </w:r>
      <w:r w:rsidR="005024A5">
        <w:t>te for the foreseeable future; t</w:t>
      </w:r>
      <w:r w:rsidR="005024A5" w:rsidRPr="001C6303">
        <w:t xml:space="preserve">herefore, period-to-period comparisons should not be relied upon as predictive of the results in future periods. </w:t>
      </w:r>
    </w:p>
    <w:p w14:paraId="7179289C" w14:textId="77777777" w:rsidR="000F6A1C" w:rsidRDefault="000F6A1C" w:rsidP="000A55AE">
      <w:pPr>
        <w:autoSpaceDE w:val="0"/>
        <w:autoSpaceDN w:val="0"/>
        <w:adjustRightInd w:val="0"/>
      </w:pPr>
    </w:p>
    <w:p w14:paraId="73A768D0" w14:textId="13B075A7" w:rsidR="006122E7" w:rsidRDefault="00A83961" w:rsidP="006122E7">
      <w:pPr>
        <w:autoSpaceDE w:val="0"/>
        <w:autoSpaceDN w:val="0"/>
        <w:adjustRightInd w:val="0"/>
      </w:pPr>
      <w:r w:rsidRPr="003D719E">
        <w:t xml:space="preserve">Our financial statements have been prepared assuming that we will continue as a going concern, which contemplates realization of assets and the satisfaction of liabilities in the normal course of business. </w:t>
      </w:r>
      <w:r w:rsidR="005B0364">
        <w:t xml:space="preserve">As of the date these financial statements are issued, the Company expects its existing cash and cash equivalents to be sufficient to fund its operations for at least the next twelve months. </w:t>
      </w:r>
      <w:r w:rsidR="00BA3FC4">
        <w:t>Since inception, the Company</w:t>
      </w:r>
      <w:r w:rsidR="005025D3">
        <w:t>’s activities have consisted primarily of performing research and development to advance its technologies. The Company</w:t>
      </w:r>
      <w:r w:rsidR="00BA3FC4" w:rsidRPr="00BA3FC4">
        <w:t xml:space="preserve"> expect</w:t>
      </w:r>
      <w:r w:rsidR="005025D3">
        <w:t>s</w:t>
      </w:r>
      <w:r w:rsidR="00BA3FC4" w:rsidRPr="00BA3FC4">
        <w:t xml:space="preserve"> to </w:t>
      </w:r>
      <w:r w:rsidR="005025D3">
        <w:t xml:space="preserve">continue to generate operating losses in the foreseeable future and will require additional funding to continue its </w:t>
      </w:r>
      <w:r w:rsidR="00BA3FC4" w:rsidRPr="00BA3FC4">
        <w:t xml:space="preserve">research and development activities. </w:t>
      </w:r>
      <w:r w:rsidR="006122E7">
        <w:t xml:space="preserve">The Company may seek funds through further equity financings, debt financings, collaborations, strategic alliances and marketing, distribution or licensing arrangements. </w:t>
      </w:r>
    </w:p>
    <w:p w14:paraId="357A3A0E" w14:textId="77777777" w:rsidR="00BA3FC4" w:rsidRDefault="00BA3FC4" w:rsidP="000A55AE">
      <w:pPr>
        <w:autoSpaceDE w:val="0"/>
        <w:autoSpaceDN w:val="0"/>
        <w:adjustRightInd w:val="0"/>
      </w:pPr>
    </w:p>
    <w:p w14:paraId="706ED221" w14:textId="0A1ADF74" w:rsidR="003463A0" w:rsidRDefault="003463A0" w:rsidP="000A55AE">
      <w:pPr>
        <w:autoSpaceDE w:val="0"/>
        <w:autoSpaceDN w:val="0"/>
        <w:adjustRightInd w:val="0"/>
      </w:pPr>
      <w:r w:rsidRPr="009701F2">
        <w:rPr>
          <w:i/>
          <w:iCs/>
        </w:rPr>
        <w:t>Recent Accounting Pronouncements</w:t>
      </w:r>
      <w:r w:rsidR="009701F2">
        <w:t xml:space="preserve"> – During the </w:t>
      </w:r>
      <w:r w:rsidR="00DA08C0">
        <w:t>nine</w:t>
      </w:r>
      <w:r w:rsidR="009701F2">
        <w:t xml:space="preserve"> months ended </w:t>
      </w:r>
      <w:r w:rsidR="00DA08C0">
        <w:t>September</w:t>
      </w:r>
      <w:r w:rsidR="009701F2">
        <w:t xml:space="preserve"> 30, 2022, </w:t>
      </w:r>
      <w:r>
        <w:t xml:space="preserve">there have been </w:t>
      </w:r>
      <w:r w:rsidRPr="005F0851">
        <w:t xml:space="preserve">no </w:t>
      </w:r>
      <w:r w:rsidR="006C5690">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rsidR="009701F2">
        <w:t>.</w:t>
      </w:r>
    </w:p>
    <w:p w14:paraId="0E6C42AC" w14:textId="77777777" w:rsidR="00C70B80" w:rsidRDefault="00C70B80" w:rsidP="000A55AE">
      <w:pPr>
        <w:pStyle w:val="BodyText"/>
        <w:spacing w:after="0"/>
      </w:pPr>
      <w:bookmarkStart w:id="19" w:name="_Hlk510617695"/>
      <w:bookmarkStart w:id="20" w:name="_Hlk5353616"/>
    </w:p>
    <w:bookmarkEnd w:id="19"/>
    <w:bookmarkEnd w:id="20"/>
    <w:p w14:paraId="50DCA41C" w14:textId="306995E0" w:rsidR="0081657E" w:rsidRDefault="00716911" w:rsidP="000A55AE">
      <w:pPr>
        <w:pStyle w:val="ListNumbering"/>
        <w:spacing w:after="0"/>
      </w:pPr>
      <w:r>
        <w:t>3</w:t>
      </w:r>
      <w:r w:rsidR="004B5B77" w:rsidRPr="001C6303">
        <w:t>.</w:t>
      </w:r>
      <w:r w:rsidR="004B5B77" w:rsidRPr="001C6303">
        <w:tab/>
      </w:r>
      <w:r w:rsidR="00AE0CD0">
        <w:t>Balance Sheet Components</w:t>
      </w:r>
    </w:p>
    <w:p w14:paraId="77CC3818" w14:textId="5D1E39BF" w:rsidR="000A55AE" w:rsidRDefault="000A55AE" w:rsidP="000A55AE">
      <w:pPr>
        <w:pStyle w:val="BodyText"/>
        <w:spacing w:after="0"/>
      </w:pPr>
    </w:p>
    <w:p w14:paraId="30AE26DD" w14:textId="2DE2AE1F" w:rsidR="007A09BA" w:rsidRPr="000E74A1" w:rsidRDefault="00D518B5" w:rsidP="007A09BA">
      <w:pPr>
        <w:pStyle w:val="BodyText"/>
        <w:spacing w:after="0"/>
      </w:pPr>
      <w:r>
        <w:rPr>
          <w:b/>
          <w:bCs/>
        </w:rPr>
        <w:t>Prepaid Expenses</w:t>
      </w:r>
      <w:r w:rsidR="006A48BD">
        <w:rPr>
          <w:b/>
          <w:bCs/>
        </w:rPr>
        <w:t xml:space="preserve"> </w:t>
      </w:r>
      <w:r w:rsidR="007A09BA">
        <w:t>–</w:t>
      </w:r>
      <w:r w:rsidR="006A48BD">
        <w:t xml:space="preserve"> </w:t>
      </w:r>
      <w:r>
        <w:t>Prepaid expenses</w:t>
      </w:r>
      <w:r w:rsidR="007A09BA">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7A09BA" w:rsidRPr="00EB7BF0" w14:paraId="6261D12E" w14:textId="77777777" w:rsidTr="00AC321D">
        <w:tc>
          <w:tcPr>
            <w:tcW w:w="6055" w:type="dxa"/>
          </w:tcPr>
          <w:p w14:paraId="2415B27F" w14:textId="77777777" w:rsidR="007A09BA" w:rsidRPr="00EB7BF0" w:rsidRDefault="007A09BA" w:rsidP="00AC321D"/>
        </w:tc>
        <w:tc>
          <w:tcPr>
            <w:tcW w:w="1842" w:type="dxa"/>
            <w:tcBorders>
              <w:bottom w:val="single" w:sz="4" w:space="0" w:color="auto"/>
            </w:tcBorders>
          </w:tcPr>
          <w:p w14:paraId="6F6D6D2D" w14:textId="68CB6BCF" w:rsidR="007A09BA" w:rsidRDefault="00DA08C0" w:rsidP="00AC321D">
            <w:pPr>
              <w:jc w:val="center"/>
            </w:pPr>
            <w:r>
              <w:t>September</w:t>
            </w:r>
            <w:r w:rsidR="007A09BA">
              <w:t xml:space="preserve"> 30,</w:t>
            </w:r>
          </w:p>
          <w:p w14:paraId="54025CA5" w14:textId="77777777" w:rsidR="007A09BA" w:rsidRPr="00EB7BF0" w:rsidRDefault="007A09BA" w:rsidP="00AC321D">
            <w:pPr>
              <w:jc w:val="center"/>
            </w:pPr>
            <w:r>
              <w:t>2022</w:t>
            </w:r>
          </w:p>
        </w:tc>
        <w:tc>
          <w:tcPr>
            <w:tcW w:w="1841" w:type="dxa"/>
            <w:tcBorders>
              <w:bottom w:val="single" w:sz="4" w:space="0" w:color="auto"/>
            </w:tcBorders>
          </w:tcPr>
          <w:p w14:paraId="79A9052C" w14:textId="77777777" w:rsidR="007A09BA" w:rsidRDefault="007A09BA" w:rsidP="00AC321D">
            <w:pPr>
              <w:jc w:val="center"/>
            </w:pPr>
            <w:r>
              <w:t>December 31,</w:t>
            </w:r>
          </w:p>
          <w:p w14:paraId="64386404" w14:textId="77777777" w:rsidR="007A09BA" w:rsidRPr="00EB7BF0" w:rsidRDefault="007A09BA" w:rsidP="00AC321D">
            <w:pPr>
              <w:jc w:val="center"/>
            </w:pPr>
            <w:r>
              <w:t>2021</w:t>
            </w:r>
          </w:p>
        </w:tc>
      </w:tr>
      <w:tr w:rsidR="007A09BA" w:rsidRPr="007863FD" w14:paraId="4B263CA3" w14:textId="77777777" w:rsidTr="00AC321D">
        <w:tc>
          <w:tcPr>
            <w:tcW w:w="6055" w:type="dxa"/>
          </w:tcPr>
          <w:p w14:paraId="5DA2C8D8" w14:textId="73F393C5" w:rsidR="007A09BA" w:rsidRPr="007863FD" w:rsidRDefault="006A48BD" w:rsidP="00AC321D">
            <w:pPr>
              <w:ind w:left="162"/>
            </w:pPr>
            <w:r w:rsidRPr="007863FD">
              <w:t xml:space="preserve">Prepaid clinical trial </w:t>
            </w:r>
            <w:r w:rsidR="00EC0751">
              <w:t>costs (current portion)</w:t>
            </w:r>
          </w:p>
        </w:tc>
        <w:tc>
          <w:tcPr>
            <w:tcW w:w="1842" w:type="dxa"/>
          </w:tcPr>
          <w:p w14:paraId="48FFFF54" w14:textId="436FAFAB" w:rsidR="007A09BA" w:rsidRPr="007863FD" w:rsidRDefault="007A09BA" w:rsidP="00AC321D">
            <w:pPr>
              <w:tabs>
                <w:tab w:val="decimal" w:pos="1199"/>
              </w:tabs>
            </w:pPr>
            <w:r w:rsidRPr="007863FD">
              <w:t xml:space="preserve">$ </w:t>
            </w:r>
            <w:r w:rsidR="007863FD" w:rsidRPr="007863FD">
              <w:t>1,231,337</w:t>
            </w:r>
          </w:p>
        </w:tc>
        <w:tc>
          <w:tcPr>
            <w:tcW w:w="1841" w:type="dxa"/>
          </w:tcPr>
          <w:p w14:paraId="1FF312D5" w14:textId="789E5A9B" w:rsidR="007A09BA" w:rsidRPr="007863FD" w:rsidRDefault="007A09BA" w:rsidP="00AC321D">
            <w:pPr>
              <w:tabs>
                <w:tab w:val="decimal" w:pos="1157"/>
              </w:tabs>
            </w:pPr>
            <w:r w:rsidRPr="007863FD">
              <w:t xml:space="preserve">$ </w:t>
            </w:r>
            <w:r w:rsidR="006A48BD" w:rsidRPr="007863FD">
              <w:t xml:space="preserve">            -</w:t>
            </w:r>
          </w:p>
        </w:tc>
      </w:tr>
      <w:tr w:rsidR="006A48BD" w:rsidRPr="007863FD" w14:paraId="2954ABB4" w14:textId="77777777" w:rsidTr="00AC321D">
        <w:tc>
          <w:tcPr>
            <w:tcW w:w="6055" w:type="dxa"/>
          </w:tcPr>
          <w:p w14:paraId="61DA1626" w14:textId="2564C285" w:rsidR="006A48BD" w:rsidRPr="007863FD" w:rsidRDefault="006A48BD" w:rsidP="00AC321D">
            <w:pPr>
              <w:ind w:left="162"/>
            </w:pPr>
            <w:r w:rsidRPr="007863FD">
              <w:t>Prepaid insurance premiums</w:t>
            </w:r>
          </w:p>
        </w:tc>
        <w:tc>
          <w:tcPr>
            <w:tcW w:w="1842" w:type="dxa"/>
          </w:tcPr>
          <w:p w14:paraId="06909EB4" w14:textId="7B6E461E" w:rsidR="006A48BD" w:rsidRPr="007863FD" w:rsidRDefault="007863FD" w:rsidP="00AC321D">
            <w:pPr>
              <w:tabs>
                <w:tab w:val="decimal" w:pos="1199"/>
              </w:tabs>
            </w:pPr>
            <w:r w:rsidRPr="007863FD">
              <w:t>143,450</w:t>
            </w:r>
          </w:p>
        </w:tc>
        <w:tc>
          <w:tcPr>
            <w:tcW w:w="1841" w:type="dxa"/>
          </w:tcPr>
          <w:p w14:paraId="75250C45" w14:textId="3D99B044" w:rsidR="006A48BD" w:rsidRPr="007863FD" w:rsidRDefault="006A48BD" w:rsidP="00AC321D">
            <w:pPr>
              <w:tabs>
                <w:tab w:val="decimal" w:pos="1157"/>
              </w:tabs>
            </w:pPr>
            <w:r w:rsidRPr="007863FD">
              <w:t>123,248</w:t>
            </w:r>
          </w:p>
        </w:tc>
      </w:tr>
      <w:tr w:rsidR="007A09BA" w:rsidRPr="007863FD" w14:paraId="3BA9DFE8" w14:textId="77777777" w:rsidTr="00AC321D">
        <w:tc>
          <w:tcPr>
            <w:tcW w:w="6055" w:type="dxa"/>
          </w:tcPr>
          <w:p w14:paraId="14F10917" w14:textId="26652F51" w:rsidR="007A09BA" w:rsidRPr="007863FD" w:rsidRDefault="007A09BA" w:rsidP="00AC321D">
            <w:pPr>
              <w:ind w:left="162"/>
            </w:pPr>
            <w:r w:rsidRPr="007863FD">
              <w:t>Prepaid rent</w:t>
            </w:r>
          </w:p>
        </w:tc>
        <w:tc>
          <w:tcPr>
            <w:tcW w:w="1842" w:type="dxa"/>
          </w:tcPr>
          <w:p w14:paraId="7DF682F4" w14:textId="210B826C" w:rsidR="007A09BA" w:rsidRPr="007863FD" w:rsidRDefault="004C0A63" w:rsidP="00AC321D">
            <w:pPr>
              <w:tabs>
                <w:tab w:val="decimal" w:pos="1199"/>
              </w:tabs>
            </w:pPr>
            <w:r w:rsidRPr="007863FD">
              <w:t>13,045</w:t>
            </w:r>
          </w:p>
        </w:tc>
        <w:tc>
          <w:tcPr>
            <w:tcW w:w="1841" w:type="dxa"/>
          </w:tcPr>
          <w:p w14:paraId="750AD568" w14:textId="18BDAFA7" w:rsidR="007A09BA" w:rsidRPr="007863FD" w:rsidRDefault="007A09BA" w:rsidP="00AC321D">
            <w:pPr>
              <w:tabs>
                <w:tab w:val="decimal" w:pos="1157"/>
              </w:tabs>
            </w:pPr>
            <w:r w:rsidRPr="007863FD">
              <w:t>13,045</w:t>
            </w:r>
          </w:p>
        </w:tc>
      </w:tr>
      <w:tr w:rsidR="004C0A63" w:rsidRPr="007863FD" w14:paraId="1055DFD7" w14:textId="77777777" w:rsidTr="00AC321D">
        <w:tc>
          <w:tcPr>
            <w:tcW w:w="6055" w:type="dxa"/>
          </w:tcPr>
          <w:p w14:paraId="1045469A" w14:textId="5BDC4CD6" w:rsidR="004C0A63" w:rsidRPr="007863FD" w:rsidRDefault="006A48BD" w:rsidP="00AC321D">
            <w:pPr>
              <w:ind w:left="162"/>
            </w:pPr>
            <w:r w:rsidRPr="007863FD">
              <w:t>Other prepaid expenses</w:t>
            </w:r>
          </w:p>
        </w:tc>
        <w:tc>
          <w:tcPr>
            <w:tcW w:w="1842" w:type="dxa"/>
          </w:tcPr>
          <w:p w14:paraId="4CB24A8D" w14:textId="57E70564" w:rsidR="004C0A63" w:rsidRPr="007863FD" w:rsidRDefault="007863FD" w:rsidP="00AC321D">
            <w:pPr>
              <w:tabs>
                <w:tab w:val="decimal" w:pos="1199"/>
              </w:tabs>
            </w:pPr>
            <w:r w:rsidRPr="007863FD">
              <w:t>72,375</w:t>
            </w:r>
          </w:p>
        </w:tc>
        <w:tc>
          <w:tcPr>
            <w:tcW w:w="1841" w:type="dxa"/>
          </w:tcPr>
          <w:p w14:paraId="6EE2DD6F" w14:textId="382B99BA" w:rsidR="004C0A63" w:rsidRPr="007863FD" w:rsidRDefault="004C0A63" w:rsidP="00AC321D">
            <w:pPr>
              <w:tabs>
                <w:tab w:val="decimal" w:pos="1157"/>
              </w:tabs>
            </w:pPr>
            <w:r w:rsidRPr="007863FD">
              <w:t>19,947</w:t>
            </w:r>
          </w:p>
        </w:tc>
      </w:tr>
      <w:tr w:rsidR="007A09BA" w:rsidRPr="00EB7BF0" w14:paraId="4A0771FD" w14:textId="77777777" w:rsidTr="00AC321D">
        <w:tc>
          <w:tcPr>
            <w:tcW w:w="6055" w:type="dxa"/>
          </w:tcPr>
          <w:p w14:paraId="0E83D845" w14:textId="06B9A423" w:rsidR="007A09BA" w:rsidRPr="007863FD" w:rsidRDefault="007A09BA" w:rsidP="00AC321D">
            <w:pPr>
              <w:ind w:left="162"/>
            </w:pPr>
            <w:r w:rsidRPr="007863FD">
              <w:t xml:space="preserve">Total </w:t>
            </w:r>
            <w:r w:rsidR="00D518B5" w:rsidRPr="007863FD">
              <w:t>prepaid expenses</w:t>
            </w:r>
          </w:p>
        </w:tc>
        <w:tc>
          <w:tcPr>
            <w:tcW w:w="1842" w:type="dxa"/>
            <w:tcBorders>
              <w:top w:val="single" w:sz="4" w:space="0" w:color="auto"/>
              <w:bottom w:val="double" w:sz="4" w:space="0" w:color="auto"/>
            </w:tcBorders>
          </w:tcPr>
          <w:p w14:paraId="730C9A97" w14:textId="4F12C702" w:rsidR="007A09BA" w:rsidRPr="007863FD" w:rsidRDefault="007A09BA" w:rsidP="00AC321D">
            <w:pPr>
              <w:tabs>
                <w:tab w:val="decimal" w:pos="1199"/>
              </w:tabs>
            </w:pPr>
            <w:r w:rsidRPr="007863FD">
              <w:t xml:space="preserve">$ </w:t>
            </w:r>
            <w:r w:rsidR="004C0A63" w:rsidRPr="007863FD">
              <w:t>1,</w:t>
            </w:r>
            <w:r w:rsidR="007863FD" w:rsidRPr="007863FD">
              <w:t>460,207</w:t>
            </w:r>
          </w:p>
        </w:tc>
        <w:tc>
          <w:tcPr>
            <w:tcW w:w="1841" w:type="dxa"/>
            <w:tcBorders>
              <w:top w:val="single" w:sz="4" w:space="0" w:color="auto"/>
              <w:bottom w:val="double" w:sz="4" w:space="0" w:color="auto"/>
            </w:tcBorders>
          </w:tcPr>
          <w:p w14:paraId="459396A8" w14:textId="5F4AF178" w:rsidR="007A09BA" w:rsidRPr="00EB7BF0" w:rsidRDefault="007A09BA" w:rsidP="00AC321D">
            <w:pPr>
              <w:tabs>
                <w:tab w:val="decimal" w:pos="1157"/>
              </w:tabs>
            </w:pPr>
            <w:r w:rsidRPr="007863FD">
              <w:t>$ 156,240</w:t>
            </w:r>
          </w:p>
        </w:tc>
      </w:tr>
    </w:tbl>
    <w:p w14:paraId="0F8156B4" w14:textId="77777777" w:rsidR="007A09BA" w:rsidRDefault="007A09BA" w:rsidP="000A55AE">
      <w:pPr>
        <w:pStyle w:val="BodyText"/>
        <w:spacing w:after="0"/>
      </w:pPr>
    </w:p>
    <w:p w14:paraId="2A31DEEB" w14:textId="77777777" w:rsidR="00B06A07" w:rsidRDefault="00B06A07">
      <w:pPr>
        <w:rPr>
          <w:b/>
          <w:bCs/>
        </w:rPr>
      </w:pPr>
      <w:r>
        <w:rPr>
          <w:b/>
          <w:bCs/>
        </w:rPr>
        <w:br w:type="page"/>
      </w:r>
    </w:p>
    <w:p w14:paraId="379B859F" w14:textId="556D64F5" w:rsidR="008758A5" w:rsidRPr="001C6303" w:rsidRDefault="008758A5" w:rsidP="000A55AE">
      <w:pPr>
        <w:pStyle w:val="BodyText"/>
        <w:spacing w:after="0"/>
      </w:pPr>
      <w:r w:rsidRPr="004C0A63">
        <w:rPr>
          <w:b/>
          <w:bCs/>
        </w:rPr>
        <w:lastRenderedPageBreak/>
        <w:t xml:space="preserve">Property and </w:t>
      </w:r>
      <w:r w:rsidR="005B0364">
        <w:rPr>
          <w:b/>
          <w:bCs/>
        </w:rPr>
        <w:t>E</w:t>
      </w:r>
      <w:r w:rsidRPr="004C0A63">
        <w:rPr>
          <w:b/>
          <w:bCs/>
        </w:rPr>
        <w:t>quipment</w:t>
      </w:r>
      <w:r w:rsidR="005B0364">
        <w:rPr>
          <w:b/>
          <w:bCs/>
        </w:rPr>
        <w:t xml:space="preserve"> </w:t>
      </w:r>
      <w:r w:rsidRPr="004C0A63">
        <w:t>–</w:t>
      </w:r>
      <w:r>
        <w:t xml:space="preserve"> </w:t>
      </w:r>
      <w:r w:rsidR="009157AA">
        <w:t>Property and equipment</w:t>
      </w:r>
      <w:r w:rsidR="005B0364">
        <w:t xml:space="preserve"> </w:t>
      </w:r>
      <w:r w:rsidR="00AE0CD0">
        <w:t>consist of the following</w:t>
      </w:r>
      <w:r w:rsidR="009157AA">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6268EB2C" w:rsidR="00B06A21" w:rsidRDefault="00DA08C0" w:rsidP="000A55AE">
            <w:pPr>
              <w:jc w:val="center"/>
            </w:pPr>
            <w:r>
              <w:t>September</w:t>
            </w:r>
            <w:r w:rsidR="00F415DC">
              <w:t xml:space="preserve"> 3</w:t>
            </w:r>
            <w:r w:rsidR="005E5FAE">
              <w:t>0</w:t>
            </w:r>
            <w:r w:rsidR="00B06A21">
              <w:t>,</w:t>
            </w:r>
          </w:p>
          <w:p w14:paraId="23AB651E" w14:textId="17AF9A95" w:rsidR="004B5B77" w:rsidRPr="00EB7BF0" w:rsidRDefault="004B5B77" w:rsidP="000A55AE">
            <w:pPr>
              <w:jc w:val="center"/>
            </w:pPr>
            <w:r>
              <w:t>20</w:t>
            </w:r>
            <w:r w:rsidR="00E576BB">
              <w:t>2</w:t>
            </w:r>
            <w:r w:rsidR="009E2CD3">
              <w:t>2</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1B4381E5" w:rsidR="004B5B77" w:rsidRPr="00EB7BF0" w:rsidRDefault="00B06A21" w:rsidP="000A55AE">
            <w:pPr>
              <w:jc w:val="center"/>
            </w:pPr>
            <w:r>
              <w:t>20</w:t>
            </w:r>
            <w:r w:rsidR="00CF588B">
              <w:t>2</w:t>
            </w:r>
            <w:r w:rsidR="009E2CD3">
              <w:t>1</w:t>
            </w:r>
          </w:p>
        </w:tc>
      </w:tr>
      <w:tr w:rsidR="004B5B77" w:rsidRPr="00EB7BF0" w14:paraId="7654121A" w14:textId="77777777" w:rsidTr="002B05F2">
        <w:tc>
          <w:tcPr>
            <w:tcW w:w="6055" w:type="dxa"/>
          </w:tcPr>
          <w:p w14:paraId="3BC8BA6E" w14:textId="07E2103D" w:rsidR="004B5B77" w:rsidRPr="00EB7BF0" w:rsidRDefault="009E2CD3" w:rsidP="000A55AE">
            <w:pPr>
              <w:ind w:left="162"/>
            </w:pPr>
            <w:r>
              <w:t>Equipment and furnishings</w:t>
            </w:r>
          </w:p>
        </w:tc>
        <w:tc>
          <w:tcPr>
            <w:tcW w:w="1842" w:type="dxa"/>
          </w:tcPr>
          <w:p w14:paraId="1EA4D72B" w14:textId="2875F0E7" w:rsidR="004B5B77" w:rsidRPr="00FA15F9" w:rsidRDefault="004B5B77" w:rsidP="000A55AE">
            <w:pPr>
              <w:tabs>
                <w:tab w:val="decimal" w:pos="1332"/>
              </w:tabs>
            </w:pPr>
            <w:r w:rsidRPr="00FA15F9">
              <w:t>$</w:t>
            </w:r>
            <w:r w:rsidR="00685606" w:rsidRPr="00FA15F9">
              <w:t xml:space="preserve"> </w:t>
            </w:r>
            <w:r w:rsidRPr="00FA15F9">
              <w:t xml:space="preserve">  </w:t>
            </w:r>
            <w:r w:rsidR="00DA08C0">
              <w:t>725,812</w:t>
            </w:r>
          </w:p>
        </w:tc>
        <w:tc>
          <w:tcPr>
            <w:tcW w:w="1841" w:type="dxa"/>
          </w:tcPr>
          <w:p w14:paraId="34DF51DB" w14:textId="2E82FE31" w:rsidR="004B5B77" w:rsidRPr="00EB7BF0" w:rsidRDefault="00B06A21" w:rsidP="000A55AE">
            <w:pPr>
              <w:tabs>
                <w:tab w:val="decimal" w:pos="1287"/>
              </w:tabs>
            </w:pPr>
            <w:r>
              <w:t xml:space="preserve">$   </w:t>
            </w:r>
            <w:r w:rsidR="009E2CD3">
              <w:t>591,554</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755AC3EC" w:rsidR="004B5B77" w:rsidRPr="00FA15F9" w:rsidRDefault="00B74BA5" w:rsidP="000A55AE">
            <w:pPr>
              <w:tabs>
                <w:tab w:val="decimal" w:pos="1332"/>
              </w:tabs>
            </w:pPr>
            <w:r>
              <w:t>115</w:t>
            </w:r>
            <w:r w:rsidR="005E5FAE">
              <w:t>,605</w:t>
            </w:r>
          </w:p>
        </w:tc>
        <w:tc>
          <w:tcPr>
            <w:tcW w:w="1841" w:type="dxa"/>
          </w:tcPr>
          <w:p w14:paraId="27EED44E" w14:textId="5F639C7E" w:rsidR="004B5B77" w:rsidRPr="00EB7BF0" w:rsidRDefault="00B06A21" w:rsidP="000A55AE">
            <w:pPr>
              <w:tabs>
                <w:tab w:val="decimal" w:pos="1287"/>
              </w:tabs>
            </w:pPr>
            <w:r>
              <w:t>1</w:t>
            </w:r>
            <w:r w:rsidR="00CF588B">
              <w:t>15,605</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6D5344B3" w:rsidR="004B5B77" w:rsidRPr="00FA15F9" w:rsidRDefault="00DA08C0" w:rsidP="000A55AE">
            <w:pPr>
              <w:tabs>
                <w:tab w:val="decimal" w:pos="1332"/>
              </w:tabs>
            </w:pPr>
            <w:r>
              <w:t>841,417</w:t>
            </w:r>
          </w:p>
        </w:tc>
        <w:tc>
          <w:tcPr>
            <w:tcW w:w="1841" w:type="dxa"/>
            <w:tcBorders>
              <w:top w:val="single" w:sz="4" w:space="0" w:color="auto"/>
            </w:tcBorders>
          </w:tcPr>
          <w:p w14:paraId="6309218B" w14:textId="1DC5B6F2" w:rsidR="004B5B77" w:rsidRPr="00EB7BF0" w:rsidRDefault="009E2CD3" w:rsidP="000A55AE">
            <w:pPr>
              <w:tabs>
                <w:tab w:val="decimal" w:pos="1287"/>
              </w:tabs>
            </w:pPr>
            <w:r>
              <w:t>707,159</w:t>
            </w:r>
          </w:p>
        </w:tc>
      </w:tr>
      <w:tr w:rsidR="004B5B77" w:rsidRPr="00452D3C" w14:paraId="60DF5069" w14:textId="77777777" w:rsidTr="002B05F2">
        <w:tc>
          <w:tcPr>
            <w:tcW w:w="6055" w:type="dxa"/>
          </w:tcPr>
          <w:p w14:paraId="156F8B62" w14:textId="77777777" w:rsidR="004B5B77" w:rsidRPr="00452D3C" w:rsidRDefault="004B5B77" w:rsidP="000A55AE">
            <w:pPr>
              <w:ind w:left="162"/>
            </w:pPr>
            <w:r w:rsidRPr="00452D3C">
              <w:t>Accumulated depreciation and amortization</w:t>
            </w:r>
          </w:p>
        </w:tc>
        <w:tc>
          <w:tcPr>
            <w:tcW w:w="1842" w:type="dxa"/>
            <w:tcBorders>
              <w:bottom w:val="single" w:sz="4" w:space="0" w:color="auto"/>
            </w:tcBorders>
          </w:tcPr>
          <w:p w14:paraId="7342DE2E" w14:textId="6CF039F6" w:rsidR="004B5B77" w:rsidRPr="00FA15F9" w:rsidRDefault="00B74BA5" w:rsidP="000A55AE">
            <w:pPr>
              <w:tabs>
                <w:tab w:val="decimal" w:pos="1332"/>
              </w:tabs>
            </w:pPr>
            <w:r>
              <w:t>(</w:t>
            </w:r>
            <w:r w:rsidR="00DA08C0">
              <w:t>592,434</w:t>
            </w:r>
            <w:r>
              <w:t>)</w:t>
            </w:r>
          </w:p>
        </w:tc>
        <w:tc>
          <w:tcPr>
            <w:tcW w:w="1841" w:type="dxa"/>
            <w:tcBorders>
              <w:bottom w:val="single" w:sz="4" w:space="0" w:color="auto"/>
            </w:tcBorders>
          </w:tcPr>
          <w:p w14:paraId="675271A9" w14:textId="322CACDE" w:rsidR="004B5B77" w:rsidRPr="00452D3C" w:rsidRDefault="00F415DC" w:rsidP="000A55AE">
            <w:pPr>
              <w:tabs>
                <w:tab w:val="decimal" w:pos="1287"/>
              </w:tabs>
            </w:pPr>
            <w:r>
              <w:t>(</w:t>
            </w:r>
            <w:r w:rsidR="009E2CD3">
              <w:t>550,221</w:t>
            </w:r>
            <w:r w:rsidR="004B5B77" w:rsidRPr="00452D3C">
              <w:t>)</w:t>
            </w:r>
          </w:p>
        </w:tc>
      </w:tr>
      <w:tr w:rsidR="004B5B77" w:rsidRPr="00EB7BF0" w14:paraId="367CE2C7" w14:textId="77777777" w:rsidTr="002B05F2">
        <w:tc>
          <w:tcPr>
            <w:tcW w:w="6055" w:type="dxa"/>
          </w:tcPr>
          <w:p w14:paraId="721CBB2F" w14:textId="33638DD1" w:rsidR="004B5B77" w:rsidRPr="00452D3C" w:rsidRDefault="00D518B5" w:rsidP="000A55AE">
            <w:pPr>
              <w:ind w:left="162"/>
            </w:pPr>
            <w:r>
              <w:t>Total p</w:t>
            </w:r>
            <w:r w:rsidR="004B5B77" w:rsidRPr="00452D3C">
              <w:t>roperty and equipment, net</w:t>
            </w:r>
          </w:p>
        </w:tc>
        <w:tc>
          <w:tcPr>
            <w:tcW w:w="1842" w:type="dxa"/>
            <w:tcBorders>
              <w:top w:val="single" w:sz="4" w:space="0" w:color="auto"/>
              <w:bottom w:val="double" w:sz="4" w:space="0" w:color="auto"/>
            </w:tcBorders>
          </w:tcPr>
          <w:p w14:paraId="5346019E" w14:textId="592EECEB" w:rsidR="004B5B77" w:rsidRPr="00FA15F9" w:rsidRDefault="00B06A21" w:rsidP="000A55AE">
            <w:pPr>
              <w:tabs>
                <w:tab w:val="decimal" w:pos="1332"/>
              </w:tabs>
            </w:pPr>
            <w:r w:rsidRPr="00FA15F9">
              <w:t xml:space="preserve">$ </w:t>
            </w:r>
            <w:r w:rsidR="005776D5">
              <w:t xml:space="preserve"> </w:t>
            </w:r>
            <w:r w:rsidRPr="00FA15F9">
              <w:t xml:space="preserve"> </w:t>
            </w:r>
            <w:r w:rsidR="00DA08C0">
              <w:t>248,983</w:t>
            </w:r>
          </w:p>
        </w:tc>
        <w:tc>
          <w:tcPr>
            <w:tcW w:w="1841" w:type="dxa"/>
            <w:tcBorders>
              <w:top w:val="single" w:sz="4" w:space="0" w:color="auto"/>
              <w:bottom w:val="double" w:sz="4" w:space="0" w:color="auto"/>
            </w:tcBorders>
          </w:tcPr>
          <w:p w14:paraId="3FB8FADE" w14:textId="2AF347DD" w:rsidR="004B5B77" w:rsidRPr="00EB7BF0" w:rsidRDefault="00B06A21" w:rsidP="000A55AE">
            <w:pPr>
              <w:tabs>
                <w:tab w:val="decimal" w:pos="1287"/>
              </w:tabs>
            </w:pPr>
            <w:r w:rsidRPr="00452D3C">
              <w:t xml:space="preserve">$  </w:t>
            </w:r>
            <w:r w:rsidR="00F92A7B">
              <w:t xml:space="preserve"> </w:t>
            </w:r>
            <w:r w:rsidR="009E2CD3">
              <w:t>156,938</w:t>
            </w:r>
          </w:p>
        </w:tc>
      </w:tr>
    </w:tbl>
    <w:p w14:paraId="275B29E8" w14:textId="7FFAA84D" w:rsidR="000A55AE" w:rsidRDefault="000A55AE" w:rsidP="000A55AE">
      <w:pPr>
        <w:pStyle w:val="BodyText"/>
        <w:spacing w:after="0"/>
      </w:pPr>
    </w:p>
    <w:p w14:paraId="10A954E4" w14:textId="2073A8EF" w:rsidR="005B0364" w:rsidRPr="004C0A63" w:rsidRDefault="005B0364" w:rsidP="005B0364">
      <w:pPr>
        <w:pStyle w:val="BodyText"/>
        <w:spacing w:after="0"/>
      </w:pPr>
      <w:r>
        <w:rPr>
          <w:b/>
          <w:bCs/>
        </w:rPr>
        <w:t>Other</w:t>
      </w:r>
      <w:r w:rsidRPr="004C0A63">
        <w:rPr>
          <w:b/>
          <w:bCs/>
        </w:rPr>
        <w:t xml:space="preserve"> </w:t>
      </w:r>
      <w:r>
        <w:rPr>
          <w:b/>
          <w:bCs/>
        </w:rPr>
        <w:t>Assets</w:t>
      </w:r>
      <w:r w:rsidRPr="004C0A63">
        <w:t xml:space="preserve"> – </w:t>
      </w:r>
      <w:r w:rsidR="002C4265">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5B0364" w:rsidRPr="004C0A63" w14:paraId="325A1EF4" w14:textId="77777777" w:rsidTr="000A0652">
        <w:tc>
          <w:tcPr>
            <w:tcW w:w="6055" w:type="dxa"/>
          </w:tcPr>
          <w:p w14:paraId="4B2A69B9" w14:textId="77777777" w:rsidR="005B0364" w:rsidRPr="004C0A63" w:rsidRDefault="005B0364" w:rsidP="000A0652"/>
        </w:tc>
        <w:tc>
          <w:tcPr>
            <w:tcW w:w="1842" w:type="dxa"/>
            <w:tcBorders>
              <w:bottom w:val="single" w:sz="4" w:space="0" w:color="auto"/>
            </w:tcBorders>
          </w:tcPr>
          <w:p w14:paraId="3526AF35" w14:textId="2CD66628" w:rsidR="005B0364" w:rsidRPr="004C0A63" w:rsidRDefault="008E0B1F" w:rsidP="000A0652">
            <w:pPr>
              <w:jc w:val="center"/>
            </w:pPr>
            <w:r>
              <w:t>September</w:t>
            </w:r>
            <w:r w:rsidR="005B0364" w:rsidRPr="004C0A63">
              <w:t xml:space="preserve"> 30,</w:t>
            </w:r>
          </w:p>
          <w:p w14:paraId="281C454B" w14:textId="77777777" w:rsidR="005B0364" w:rsidRPr="004C0A63" w:rsidRDefault="005B0364" w:rsidP="000A0652">
            <w:pPr>
              <w:jc w:val="center"/>
            </w:pPr>
            <w:r w:rsidRPr="004C0A63">
              <w:t>2022</w:t>
            </w:r>
          </w:p>
        </w:tc>
        <w:tc>
          <w:tcPr>
            <w:tcW w:w="1841" w:type="dxa"/>
            <w:tcBorders>
              <w:bottom w:val="single" w:sz="4" w:space="0" w:color="auto"/>
            </w:tcBorders>
          </w:tcPr>
          <w:p w14:paraId="5F9B1B32" w14:textId="77777777" w:rsidR="005B0364" w:rsidRPr="004C0A63" w:rsidRDefault="005B0364" w:rsidP="000A0652">
            <w:pPr>
              <w:jc w:val="center"/>
            </w:pPr>
            <w:r w:rsidRPr="004C0A63">
              <w:t>December 31,</w:t>
            </w:r>
          </w:p>
          <w:p w14:paraId="5C6F3BE8" w14:textId="77777777" w:rsidR="005B0364" w:rsidRPr="004C0A63" w:rsidRDefault="005B0364" w:rsidP="000A0652">
            <w:pPr>
              <w:jc w:val="center"/>
            </w:pPr>
            <w:r w:rsidRPr="004C0A63">
              <w:t>2021</w:t>
            </w:r>
          </w:p>
        </w:tc>
      </w:tr>
      <w:tr w:rsidR="005B0364" w:rsidRPr="004C0A63" w14:paraId="3C08B7D4" w14:textId="77777777" w:rsidTr="000A0652">
        <w:tc>
          <w:tcPr>
            <w:tcW w:w="6055" w:type="dxa"/>
          </w:tcPr>
          <w:p w14:paraId="46625127" w14:textId="76275040" w:rsidR="00EC0751" w:rsidRPr="004C0A63" w:rsidRDefault="00E843E6" w:rsidP="00EC0751">
            <w:pPr>
              <w:ind w:left="162"/>
            </w:pPr>
            <w:r>
              <w:t xml:space="preserve">Prepaid clinical trial </w:t>
            </w:r>
            <w:r w:rsidR="00EC0751">
              <w:t>costs (noncurrent portion)</w:t>
            </w:r>
          </w:p>
        </w:tc>
        <w:tc>
          <w:tcPr>
            <w:tcW w:w="1842" w:type="dxa"/>
          </w:tcPr>
          <w:p w14:paraId="44D02F31" w14:textId="3C46E658" w:rsidR="005B0364" w:rsidRPr="004C0A63" w:rsidRDefault="005B0364" w:rsidP="000A0652">
            <w:pPr>
              <w:tabs>
                <w:tab w:val="decimal" w:pos="1199"/>
              </w:tabs>
            </w:pPr>
            <w:r w:rsidRPr="004C0A63">
              <w:t xml:space="preserve">$ </w:t>
            </w:r>
            <w:r w:rsidR="007863FD">
              <w:t>2,083,276</w:t>
            </w:r>
          </w:p>
        </w:tc>
        <w:tc>
          <w:tcPr>
            <w:tcW w:w="1841" w:type="dxa"/>
          </w:tcPr>
          <w:p w14:paraId="01AF4578" w14:textId="0CC27999" w:rsidR="005B0364" w:rsidRPr="004C0A63" w:rsidRDefault="005B0364" w:rsidP="000A0652">
            <w:pPr>
              <w:tabs>
                <w:tab w:val="decimal" w:pos="1157"/>
              </w:tabs>
            </w:pPr>
            <w:r w:rsidRPr="004C0A63">
              <w:t xml:space="preserve">$ </w:t>
            </w:r>
            <w:r w:rsidR="002C4265">
              <w:t xml:space="preserve">            -</w:t>
            </w:r>
          </w:p>
        </w:tc>
      </w:tr>
      <w:tr w:rsidR="00EC0751" w:rsidRPr="004C0A63" w14:paraId="66CCC3E9" w14:textId="77777777" w:rsidTr="000A0652">
        <w:tc>
          <w:tcPr>
            <w:tcW w:w="6055" w:type="dxa"/>
          </w:tcPr>
          <w:p w14:paraId="39A8D1CA" w14:textId="5E5076FF" w:rsidR="00EC0751" w:rsidRDefault="00EC0751" w:rsidP="00EC0751">
            <w:pPr>
              <w:ind w:left="162"/>
            </w:pPr>
            <w:r>
              <w:t>Prepaid technology license fees</w:t>
            </w:r>
          </w:p>
        </w:tc>
        <w:tc>
          <w:tcPr>
            <w:tcW w:w="1842" w:type="dxa"/>
          </w:tcPr>
          <w:p w14:paraId="1C851391" w14:textId="025E79AE" w:rsidR="00EC0751" w:rsidRPr="004C0A63" w:rsidRDefault="00EC0751" w:rsidP="000A0652">
            <w:pPr>
              <w:tabs>
                <w:tab w:val="decimal" w:pos="1199"/>
              </w:tabs>
            </w:pPr>
            <w:r>
              <w:t>90,000</w:t>
            </w:r>
          </w:p>
        </w:tc>
        <w:tc>
          <w:tcPr>
            <w:tcW w:w="1841" w:type="dxa"/>
          </w:tcPr>
          <w:p w14:paraId="384C6BB5" w14:textId="7D6EB790" w:rsidR="00EC0751" w:rsidRPr="004C0A63" w:rsidRDefault="00EC0751" w:rsidP="000A0652">
            <w:pPr>
              <w:tabs>
                <w:tab w:val="decimal" w:pos="1157"/>
              </w:tabs>
            </w:pPr>
            <w:r>
              <w:t>-</w:t>
            </w:r>
          </w:p>
        </w:tc>
      </w:tr>
      <w:tr w:rsidR="005B0364" w:rsidRPr="004C0A63" w14:paraId="27D47167" w14:textId="77777777" w:rsidTr="000A0652">
        <w:tc>
          <w:tcPr>
            <w:tcW w:w="6055" w:type="dxa"/>
          </w:tcPr>
          <w:p w14:paraId="55526C35" w14:textId="76E0C556" w:rsidR="005B0364" w:rsidRPr="004C0A63" w:rsidRDefault="007863FD" w:rsidP="000A0652">
            <w:pPr>
              <w:ind w:left="162"/>
            </w:pPr>
            <w:r>
              <w:t>D</w:t>
            </w:r>
            <w:r w:rsidR="002C4265">
              <w:t>eposit</w:t>
            </w:r>
            <w:r>
              <w:t>s</w:t>
            </w:r>
          </w:p>
        </w:tc>
        <w:tc>
          <w:tcPr>
            <w:tcW w:w="1842" w:type="dxa"/>
            <w:tcBorders>
              <w:bottom w:val="single" w:sz="4" w:space="0" w:color="auto"/>
            </w:tcBorders>
          </w:tcPr>
          <w:p w14:paraId="560E1F4B" w14:textId="0C15A330" w:rsidR="005B0364" w:rsidRPr="004C0A63" w:rsidRDefault="007863FD" w:rsidP="000A0652">
            <w:pPr>
              <w:tabs>
                <w:tab w:val="decimal" w:pos="1199"/>
              </w:tabs>
            </w:pPr>
            <w:r>
              <w:t>1</w:t>
            </w:r>
            <w:r w:rsidR="00EC0751">
              <w:t>1</w:t>
            </w:r>
            <w:r>
              <w:t>,010</w:t>
            </w:r>
          </w:p>
        </w:tc>
        <w:tc>
          <w:tcPr>
            <w:tcW w:w="1841" w:type="dxa"/>
            <w:tcBorders>
              <w:bottom w:val="single" w:sz="4" w:space="0" w:color="auto"/>
            </w:tcBorders>
          </w:tcPr>
          <w:p w14:paraId="76D36B9E" w14:textId="5A8CB073" w:rsidR="005B0364" w:rsidRPr="004C0A63" w:rsidRDefault="005B0364" w:rsidP="000A0652">
            <w:pPr>
              <w:tabs>
                <w:tab w:val="decimal" w:pos="1157"/>
              </w:tabs>
            </w:pPr>
            <w:r w:rsidRPr="004C0A63">
              <w:t>1</w:t>
            </w:r>
            <w:r w:rsidR="002C4265">
              <w:t>1,010</w:t>
            </w:r>
          </w:p>
        </w:tc>
      </w:tr>
      <w:tr w:rsidR="005B0364" w:rsidRPr="004C0A63" w14:paraId="139BAB7B" w14:textId="77777777" w:rsidTr="000A0652">
        <w:tc>
          <w:tcPr>
            <w:tcW w:w="6055" w:type="dxa"/>
          </w:tcPr>
          <w:p w14:paraId="1C0F5091" w14:textId="2B2B20C8" w:rsidR="005B0364" w:rsidRPr="004C0A63" w:rsidRDefault="005B0364" w:rsidP="000A0652">
            <w:pPr>
              <w:ind w:left="162"/>
            </w:pPr>
            <w:r w:rsidRPr="004C0A63">
              <w:t xml:space="preserve">Total </w:t>
            </w:r>
            <w:r w:rsidR="002C4265">
              <w:t>other assets</w:t>
            </w:r>
          </w:p>
        </w:tc>
        <w:tc>
          <w:tcPr>
            <w:tcW w:w="1842" w:type="dxa"/>
            <w:tcBorders>
              <w:top w:val="single" w:sz="4" w:space="0" w:color="auto"/>
              <w:bottom w:val="double" w:sz="4" w:space="0" w:color="auto"/>
            </w:tcBorders>
          </w:tcPr>
          <w:p w14:paraId="12927D7B" w14:textId="4171536B" w:rsidR="005B0364" w:rsidRPr="004C0A63" w:rsidRDefault="005B0364" w:rsidP="000A0652">
            <w:pPr>
              <w:tabs>
                <w:tab w:val="decimal" w:pos="1199"/>
              </w:tabs>
            </w:pPr>
            <w:r w:rsidRPr="004C0A63">
              <w:t xml:space="preserve">$ </w:t>
            </w:r>
            <w:r w:rsidR="007863FD">
              <w:t>2,184,286</w:t>
            </w:r>
          </w:p>
        </w:tc>
        <w:tc>
          <w:tcPr>
            <w:tcW w:w="1841" w:type="dxa"/>
            <w:tcBorders>
              <w:top w:val="single" w:sz="4" w:space="0" w:color="auto"/>
              <w:bottom w:val="double" w:sz="4" w:space="0" w:color="auto"/>
            </w:tcBorders>
          </w:tcPr>
          <w:p w14:paraId="18E49102" w14:textId="1E294EEE" w:rsidR="005B0364" w:rsidRPr="004C0A63" w:rsidRDefault="005B0364" w:rsidP="000A0652">
            <w:pPr>
              <w:tabs>
                <w:tab w:val="decimal" w:pos="1157"/>
              </w:tabs>
            </w:pPr>
            <w:r w:rsidRPr="004C0A63">
              <w:t>$</w:t>
            </w:r>
            <w:r w:rsidR="002C4265">
              <w:t xml:space="preserve">  </w:t>
            </w:r>
            <w:r w:rsidRPr="004C0A63">
              <w:t xml:space="preserve"> </w:t>
            </w:r>
            <w:r w:rsidR="002C4265">
              <w:t>11,010</w:t>
            </w:r>
          </w:p>
        </w:tc>
      </w:tr>
    </w:tbl>
    <w:p w14:paraId="685EA274" w14:textId="77777777" w:rsidR="005B0364" w:rsidRDefault="005B0364" w:rsidP="000A55AE">
      <w:pPr>
        <w:pStyle w:val="BodyText"/>
        <w:spacing w:after="0"/>
      </w:pPr>
    </w:p>
    <w:p w14:paraId="1F06A4E5" w14:textId="4CF89266" w:rsidR="008758A5" w:rsidRPr="004C0A63" w:rsidRDefault="008758A5" w:rsidP="000A55AE">
      <w:pPr>
        <w:pStyle w:val="BodyText"/>
        <w:spacing w:after="0"/>
      </w:pPr>
      <w:r w:rsidRPr="004C0A63">
        <w:rPr>
          <w:b/>
          <w:bCs/>
        </w:rPr>
        <w:t>Accrued Expenses</w:t>
      </w:r>
      <w:r w:rsidRPr="004C0A63">
        <w:t xml:space="preserve"> – </w:t>
      </w:r>
      <w:r w:rsidR="000E74A1" w:rsidRPr="004C0A63">
        <w:t xml:space="preserve">Accrued expenses </w:t>
      </w:r>
      <w:r w:rsidRPr="004C0A63">
        <w:t>consist of the following</w:t>
      </w:r>
      <w:r w:rsidR="000E74A1" w:rsidRPr="004C0A63">
        <w:t>:</w:t>
      </w:r>
    </w:p>
    <w:tbl>
      <w:tblPr>
        <w:tblW w:w="0" w:type="auto"/>
        <w:tblInd w:w="198" w:type="dxa"/>
        <w:tblLook w:val="04A0" w:firstRow="1" w:lastRow="0" w:firstColumn="1" w:lastColumn="0" w:noHBand="0" w:noVBand="1"/>
      </w:tblPr>
      <w:tblGrid>
        <w:gridCol w:w="6055"/>
        <w:gridCol w:w="1842"/>
        <w:gridCol w:w="1841"/>
      </w:tblGrid>
      <w:tr w:rsidR="002B05F2" w:rsidRPr="004C0A63" w14:paraId="0260BBDA" w14:textId="77777777" w:rsidTr="002B05F2">
        <w:tc>
          <w:tcPr>
            <w:tcW w:w="6055" w:type="dxa"/>
          </w:tcPr>
          <w:p w14:paraId="39F94116" w14:textId="77777777" w:rsidR="000E74A1" w:rsidRPr="004C0A63" w:rsidRDefault="000E74A1" w:rsidP="000A55AE"/>
        </w:tc>
        <w:tc>
          <w:tcPr>
            <w:tcW w:w="1842" w:type="dxa"/>
            <w:tcBorders>
              <w:bottom w:val="single" w:sz="4" w:space="0" w:color="auto"/>
            </w:tcBorders>
          </w:tcPr>
          <w:p w14:paraId="2A42BAF7" w14:textId="4523FC3E" w:rsidR="002B05F2" w:rsidRPr="004C0A63" w:rsidRDefault="008E0B1F" w:rsidP="000A55AE">
            <w:pPr>
              <w:jc w:val="center"/>
            </w:pPr>
            <w:r>
              <w:t>September</w:t>
            </w:r>
            <w:r w:rsidR="009941FA" w:rsidRPr="004C0A63">
              <w:t xml:space="preserve"> 3</w:t>
            </w:r>
            <w:r w:rsidR="005E5FAE" w:rsidRPr="004C0A63">
              <w:t>0</w:t>
            </w:r>
            <w:r w:rsidR="002B05F2" w:rsidRPr="004C0A63">
              <w:t>,</w:t>
            </w:r>
          </w:p>
          <w:p w14:paraId="5D0B64A1" w14:textId="65A3B317" w:rsidR="002B05F2" w:rsidRPr="004C0A63" w:rsidRDefault="002B05F2" w:rsidP="000A55AE">
            <w:pPr>
              <w:jc w:val="center"/>
            </w:pPr>
            <w:r w:rsidRPr="004C0A63">
              <w:t>20</w:t>
            </w:r>
            <w:r w:rsidR="00717940" w:rsidRPr="004C0A63">
              <w:t>2</w:t>
            </w:r>
            <w:r w:rsidR="009E2CD3" w:rsidRPr="004C0A63">
              <w:t>2</w:t>
            </w:r>
          </w:p>
        </w:tc>
        <w:tc>
          <w:tcPr>
            <w:tcW w:w="1841" w:type="dxa"/>
            <w:tcBorders>
              <w:bottom w:val="single" w:sz="4" w:space="0" w:color="auto"/>
            </w:tcBorders>
          </w:tcPr>
          <w:p w14:paraId="19205898" w14:textId="77777777" w:rsidR="002B05F2" w:rsidRPr="004C0A63" w:rsidRDefault="002B05F2" w:rsidP="000A55AE">
            <w:pPr>
              <w:jc w:val="center"/>
            </w:pPr>
            <w:r w:rsidRPr="004C0A63">
              <w:t>December 31,</w:t>
            </w:r>
          </w:p>
          <w:p w14:paraId="08F38C79" w14:textId="0438594F" w:rsidR="002B05F2" w:rsidRPr="004C0A63" w:rsidRDefault="002B05F2" w:rsidP="000A55AE">
            <w:pPr>
              <w:jc w:val="center"/>
            </w:pPr>
            <w:r w:rsidRPr="004C0A63">
              <w:t>20</w:t>
            </w:r>
            <w:r w:rsidR="00F92A7B" w:rsidRPr="004C0A63">
              <w:t>2</w:t>
            </w:r>
            <w:r w:rsidR="009E2CD3" w:rsidRPr="004C0A63">
              <w:t>1</w:t>
            </w:r>
          </w:p>
        </w:tc>
      </w:tr>
      <w:tr w:rsidR="002B05F2" w:rsidRPr="004C0A63" w14:paraId="62D03BE8" w14:textId="77777777" w:rsidTr="002B05F2">
        <w:tc>
          <w:tcPr>
            <w:tcW w:w="6055" w:type="dxa"/>
          </w:tcPr>
          <w:p w14:paraId="54134F05" w14:textId="7113BA6C" w:rsidR="002B05F2" w:rsidRPr="004C0A63" w:rsidRDefault="002B05F2" w:rsidP="000A55AE">
            <w:pPr>
              <w:ind w:left="162"/>
            </w:pPr>
            <w:r w:rsidRPr="004C0A63">
              <w:t xml:space="preserve">Accrued </w:t>
            </w:r>
            <w:r w:rsidR="00281393">
              <w:t xml:space="preserve">technology </w:t>
            </w:r>
            <w:r w:rsidR="009E2CD3" w:rsidRPr="004C0A63">
              <w:t>license fees – current</w:t>
            </w:r>
            <w:r w:rsidR="008758A5" w:rsidRPr="004C0A63">
              <w:t xml:space="preserve"> portion</w:t>
            </w:r>
          </w:p>
        </w:tc>
        <w:tc>
          <w:tcPr>
            <w:tcW w:w="1842" w:type="dxa"/>
          </w:tcPr>
          <w:p w14:paraId="03CB4ED6" w14:textId="429F21D3" w:rsidR="002B05F2" w:rsidRPr="004C0A63" w:rsidRDefault="009941FA" w:rsidP="000A55AE">
            <w:pPr>
              <w:tabs>
                <w:tab w:val="decimal" w:pos="1199"/>
              </w:tabs>
            </w:pPr>
            <w:r w:rsidRPr="004C0A63">
              <w:t xml:space="preserve">$ </w:t>
            </w:r>
            <w:r w:rsidR="009E2CD3" w:rsidRPr="004C0A63">
              <w:t>3,000,000</w:t>
            </w:r>
          </w:p>
        </w:tc>
        <w:tc>
          <w:tcPr>
            <w:tcW w:w="1841" w:type="dxa"/>
          </w:tcPr>
          <w:p w14:paraId="299C0DF5" w14:textId="7C224C59" w:rsidR="002B05F2" w:rsidRPr="004C0A63" w:rsidRDefault="002B05F2" w:rsidP="000A55AE">
            <w:pPr>
              <w:tabs>
                <w:tab w:val="decimal" w:pos="1157"/>
              </w:tabs>
            </w:pPr>
            <w:r w:rsidRPr="004C0A63">
              <w:t>$</w:t>
            </w:r>
            <w:r w:rsidR="00C67C3F" w:rsidRPr="004C0A63">
              <w:t xml:space="preserve"> </w:t>
            </w:r>
            <w:r w:rsidR="009E2CD3" w:rsidRPr="004C0A63">
              <w:t>3,000,000</w:t>
            </w:r>
          </w:p>
        </w:tc>
      </w:tr>
      <w:tr w:rsidR="009E2CD3" w:rsidRPr="004C0A63" w14:paraId="400A1F2F" w14:textId="77777777" w:rsidTr="002B05F2">
        <w:tc>
          <w:tcPr>
            <w:tcW w:w="6055" w:type="dxa"/>
          </w:tcPr>
          <w:p w14:paraId="67E84BA3" w14:textId="1776F8DD" w:rsidR="009E2CD3" w:rsidRPr="004C0A63" w:rsidRDefault="009E2CD3" w:rsidP="000A55AE">
            <w:pPr>
              <w:ind w:left="162"/>
            </w:pPr>
            <w:r w:rsidRPr="004C0A63">
              <w:t xml:space="preserve">Accrued </w:t>
            </w:r>
            <w:r w:rsidR="00281393">
              <w:t>compensation</w:t>
            </w:r>
          </w:p>
        </w:tc>
        <w:tc>
          <w:tcPr>
            <w:tcW w:w="1842" w:type="dxa"/>
          </w:tcPr>
          <w:p w14:paraId="55AA8EBF" w14:textId="43DB0130" w:rsidR="009E2CD3" w:rsidRPr="004C0A63" w:rsidRDefault="0072408F" w:rsidP="000A55AE">
            <w:pPr>
              <w:tabs>
                <w:tab w:val="decimal" w:pos="1199"/>
              </w:tabs>
            </w:pPr>
            <w:r>
              <w:t>-</w:t>
            </w:r>
          </w:p>
        </w:tc>
        <w:tc>
          <w:tcPr>
            <w:tcW w:w="1841" w:type="dxa"/>
          </w:tcPr>
          <w:p w14:paraId="0B3309C2" w14:textId="0ABA9F24" w:rsidR="009E2CD3" w:rsidRPr="004C0A63" w:rsidRDefault="009E2CD3" w:rsidP="000A55AE">
            <w:pPr>
              <w:tabs>
                <w:tab w:val="decimal" w:pos="1157"/>
              </w:tabs>
            </w:pPr>
            <w:r w:rsidRPr="004C0A63">
              <w:t>269,000</w:t>
            </w:r>
          </w:p>
        </w:tc>
      </w:tr>
      <w:tr w:rsidR="002B05F2" w:rsidRPr="007863FD" w14:paraId="71F07EDF" w14:textId="77777777" w:rsidTr="002B05F2">
        <w:tc>
          <w:tcPr>
            <w:tcW w:w="6055" w:type="dxa"/>
          </w:tcPr>
          <w:p w14:paraId="3CEE5560" w14:textId="4675CA19" w:rsidR="002B05F2" w:rsidRPr="007863FD" w:rsidRDefault="002B05F2" w:rsidP="000A55AE">
            <w:pPr>
              <w:ind w:left="162"/>
            </w:pPr>
            <w:r w:rsidRPr="007863FD">
              <w:t>Other</w:t>
            </w:r>
            <w:r w:rsidR="00775DD0" w:rsidRPr="007863FD">
              <w:t xml:space="preserve"> accrued expenses</w:t>
            </w:r>
          </w:p>
        </w:tc>
        <w:tc>
          <w:tcPr>
            <w:tcW w:w="1842" w:type="dxa"/>
            <w:tcBorders>
              <w:bottom w:val="single" w:sz="4" w:space="0" w:color="auto"/>
            </w:tcBorders>
          </w:tcPr>
          <w:p w14:paraId="1E4E219D" w14:textId="1EFEC185" w:rsidR="002B05F2" w:rsidRPr="007863FD" w:rsidRDefault="00142598" w:rsidP="000A55AE">
            <w:pPr>
              <w:tabs>
                <w:tab w:val="decimal" w:pos="1199"/>
              </w:tabs>
            </w:pPr>
            <w:r>
              <w:t>70</w:t>
            </w:r>
            <w:r w:rsidR="007863FD" w:rsidRPr="007863FD">
              <w:t>9,984</w:t>
            </w:r>
          </w:p>
        </w:tc>
        <w:tc>
          <w:tcPr>
            <w:tcW w:w="1841" w:type="dxa"/>
            <w:tcBorders>
              <w:bottom w:val="single" w:sz="4" w:space="0" w:color="auto"/>
            </w:tcBorders>
          </w:tcPr>
          <w:p w14:paraId="366C406E" w14:textId="7B73D6C1" w:rsidR="002B05F2" w:rsidRPr="007863FD" w:rsidRDefault="009E2CD3" w:rsidP="000A55AE">
            <w:pPr>
              <w:tabs>
                <w:tab w:val="decimal" w:pos="1157"/>
              </w:tabs>
            </w:pPr>
            <w:r w:rsidRPr="007863FD">
              <w:t>108,826</w:t>
            </w:r>
          </w:p>
        </w:tc>
      </w:tr>
      <w:tr w:rsidR="002B05F2" w:rsidRPr="004C0A63" w14:paraId="5DE2A726" w14:textId="77777777" w:rsidTr="002B05F2">
        <w:tc>
          <w:tcPr>
            <w:tcW w:w="6055" w:type="dxa"/>
          </w:tcPr>
          <w:p w14:paraId="324012B8" w14:textId="77777777" w:rsidR="002B05F2" w:rsidRPr="007863FD" w:rsidRDefault="002B05F2" w:rsidP="000A55AE">
            <w:pPr>
              <w:ind w:left="162"/>
            </w:pPr>
            <w:r w:rsidRPr="007863FD">
              <w:t>Total accrued expenses</w:t>
            </w:r>
          </w:p>
        </w:tc>
        <w:tc>
          <w:tcPr>
            <w:tcW w:w="1842" w:type="dxa"/>
            <w:tcBorders>
              <w:top w:val="single" w:sz="4" w:space="0" w:color="auto"/>
              <w:bottom w:val="double" w:sz="4" w:space="0" w:color="auto"/>
            </w:tcBorders>
          </w:tcPr>
          <w:p w14:paraId="5F1AF149" w14:textId="2E52CDB4" w:rsidR="002B05F2" w:rsidRPr="007863FD" w:rsidRDefault="009941FA" w:rsidP="000A55AE">
            <w:pPr>
              <w:tabs>
                <w:tab w:val="decimal" w:pos="1199"/>
              </w:tabs>
            </w:pPr>
            <w:r w:rsidRPr="007863FD">
              <w:t xml:space="preserve">$ </w:t>
            </w:r>
            <w:r w:rsidR="008758A5" w:rsidRPr="007863FD">
              <w:t>3</w:t>
            </w:r>
            <w:r w:rsidR="001677CE" w:rsidRPr="007863FD">
              <w:t>,</w:t>
            </w:r>
            <w:r w:rsidR="00142598">
              <w:t>70</w:t>
            </w:r>
            <w:r w:rsidR="007863FD" w:rsidRPr="007863FD">
              <w:t>9,984</w:t>
            </w:r>
          </w:p>
        </w:tc>
        <w:tc>
          <w:tcPr>
            <w:tcW w:w="1841" w:type="dxa"/>
            <w:tcBorders>
              <w:top w:val="single" w:sz="4" w:space="0" w:color="auto"/>
              <w:bottom w:val="double" w:sz="4" w:space="0" w:color="auto"/>
            </w:tcBorders>
          </w:tcPr>
          <w:p w14:paraId="27A7728F" w14:textId="4D7C80BD" w:rsidR="002B05F2" w:rsidRPr="004C0A63" w:rsidRDefault="009941FA" w:rsidP="000A55AE">
            <w:pPr>
              <w:tabs>
                <w:tab w:val="decimal" w:pos="1157"/>
              </w:tabs>
            </w:pPr>
            <w:r w:rsidRPr="007863FD">
              <w:t>$</w:t>
            </w:r>
            <w:r w:rsidR="009E2CD3" w:rsidRPr="007863FD">
              <w:t xml:space="preserve"> </w:t>
            </w:r>
            <w:r w:rsidR="008758A5" w:rsidRPr="007863FD">
              <w:t>3</w:t>
            </w:r>
            <w:r w:rsidR="009E2CD3" w:rsidRPr="007863FD">
              <w:t>,377,826</w:t>
            </w:r>
          </w:p>
        </w:tc>
      </w:tr>
    </w:tbl>
    <w:p w14:paraId="3C1120E1" w14:textId="31346BB6" w:rsidR="00C5141A" w:rsidRPr="004C0A63" w:rsidRDefault="00C5141A" w:rsidP="000A55AE">
      <w:pPr>
        <w:pStyle w:val="BodyText"/>
        <w:spacing w:after="0"/>
      </w:pPr>
    </w:p>
    <w:p w14:paraId="5866FCDE" w14:textId="4C6F83D0" w:rsidR="004068BC" w:rsidRDefault="007A09BA" w:rsidP="000A55AE">
      <w:pPr>
        <w:pStyle w:val="BodyText"/>
        <w:spacing w:after="0"/>
      </w:pPr>
      <w:r w:rsidRPr="004C0A63">
        <w:rPr>
          <w:b/>
          <w:bCs/>
        </w:rPr>
        <w:t>Other Liabilities</w:t>
      </w:r>
      <w:r w:rsidRPr="004C0A63">
        <w:t xml:space="preserve"> – </w:t>
      </w:r>
      <w:r w:rsidR="00281393">
        <w:t>Other liabilities</w:t>
      </w:r>
      <w:r w:rsidR="005B0364">
        <w:t xml:space="preserve"> were $2,000,000</w:t>
      </w:r>
      <w:r w:rsidR="00281393">
        <w:t xml:space="preserve"> at </w:t>
      </w:r>
      <w:r w:rsidR="0072408F">
        <w:t>September</w:t>
      </w:r>
      <w:r w:rsidR="00281393">
        <w:t xml:space="preserve"> 30, 2022 and December 31, 2021 </w:t>
      </w:r>
      <w:r w:rsidR="005B0364">
        <w:t xml:space="preserve">and </w:t>
      </w:r>
      <w:r w:rsidR="00281393">
        <w:t>consist of the noncurrent portion of accrued technology license fees.</w:t>
      </w:r>
    </w:p>
    <w:p w14:paraId="628E8F72" w14:textId="77777777" w:rsidR="008758A5" w:rsidRDefault="008758A5" w:rsidP="000A55AE">
      <w:pPr>
        <w:pStyle w:val="BodyText"/>
        <w:spacing w:after="0"/>
      </w:pPr>
    </w:p>
    <w:p w14:paraId="5B33366B" w14:textId="7FAF6C2B" w:rsidR="00723617" w:rsidRPr="001C6303" w:rsidRDefault="00716911" w:rsidP="000A55AE">
      <w:pPr>
        <w:pStyle w:val="ListNumbering"/>
        <w:spacing w:after="0"/>
      </w:pPr>
      <w:r>
        <w:t>4</w:t>
      </w:r>
      <w:r w:rsidR="00723617" w:rsidRPr="00B53172">
        <w:t>.</w:t>
      </w:r>
      <w:r w:rsidR="00723617" w:rsidRPr="00B53172">
        <w:tab/>
        <w:t>Commitments</w:t>
      </w:r>
    </w:p>
    <w:p w14:paraId="61568E0F" w14:textId="562A3283" w:rsidR="000A55AE" w:rsidRDefault="000A55AE" w:rsidP="000A55AE">
      <w:pPr>
        <w:pStyle w:val="BodyText"/>
        <w:spacing w:after="0"/>
      </w:pPr>
      <w:bookmarkStart w:id="21" w:name="_Toc197922410"/>
    </w:p>
    <w:p w14:paraId="2511169A" w14:textId="7A37A321" w:rsidR="007947EE" w:rsidRPr="00307685" w:rsidRDefault="007947EE" w:rsidP="007947EE">
      <w:pPr>
        <w:rPr>
          <w:bCs/>
          <w:i/>
        </w:rPr>
      </w:pPr>
      <w:r>
        <w:rPr>
          <w:i/>
        </w:rPr>
        <w:t xml:space="preserve">Operating </w:t>
      </w:r>
      <w:r w:rsidR="00C20F8B" w:rsidRPr="00C20F8B">
        <w:rPr>
          <w:i/>
        </w:rPr>
        <w:t>Lease</w:t>
      </w:r>
      <w:r w:rsidR="00307685">
        <w:rPr>
          <w:bCs/>
          <w:i/>
        </w:rPr>
        <w:t xml:space="preserve"> – </w:t>
      </w:r>
      <w:r w:rsidR="00C20F8B" w:rsidRPr="00C20F8B">
        <w:t xml:space="preserve">We lease approximately 8,400 square feet of office and laboratory space pursuant to an operating lease which expires </w:t>
      </w:r>
      <w:r w:rsidR="00C20F8B" w:rsidRPr="00AF4E3F">
        <w:t>on December 31, 20</w:t>
      </w:r>
      <w:r w:rsidR="00717940" w:rsidRPr="00AF4E3F">
        <w:t>22</w:t>
      </w:r>
      <w:r w:rsidR="00AF4E3F">
        <w:t>, but which we expect to extend</w:t>
      </w:r>
      <w:r w:rsidR="00C20F8B" w:rsidRPr="00AF4E3F">
        <w:t>. Rent expense</w:t>
      </w:r>
      <w:r w:rsidR="00C85A90">
        <w:t xml:space="preserve"> </w:t>
      </w:r>
      <w:r w:rsidR="00C20F8B" w:rsidRPr="00C5141A">
        <w:rPr>
          <w:rFonts w:ascii="CG Times (WN)" w:hAnsi="CG Times (WN)"/>
        </w:rPr>
        <w:t xml:space="preserve">for </w:t>
      </w:r>
      <w:r w:rsidR="00C20F8B">
        <w:rPr>
          <w:rFonts w:ascii="CG Times (WN)" w:hAnsi="CG Times (WN)"/>
        </w:rPr>
        <w:t xml:space="preserve">the three-month </w:t>
      </w:r>
      <w:r w:rsidR="005E5FAE">
        <w:rPr>
          <w:rFonts w:ascii="CG Times (WN)" w:hAnsi="CG Times (WN)"/>
        </w:rPr>
        <w:t xml:space="preserve">and </w:t>
      </w:r>
      <w:r w:rsidR="00C54F42">
        <w:rPr>
          <w:rFonts w:ascii="CG Times (WN)" w:hAnsi="CG Times (WN)"/>
        </w:rPr>
        <w:t>nine</w:t>
      </w:r>
      <w:r w:rsidR="005E5FAE">
        <w:rPr>
          <w:rFonts w:ascii="CG Times (WN)" w:hAnsi="CG Times (WN)"/>
        </w:rPr>
        <w:t xml:space="preserve">-month </w:t>
      </w:r>
      <w:r w:rsidR="00C20F8B">
        <w:rPr>
          <w:rFonts w:ascii="CG Times (WN)" w:hAnsi="CG Times (WN)"/>
        </w:rPr>
        <w:t xml:space="preserve">periods ended </w:t>
      </w:r>
      <w:r w:rsidR="00C54F42">
        <w:rPr>
          <w:rFonts w:ascii="CG Times (WN)" w:hAnsi="CG Times (WN)"/>
        </w:rPr>
        <w:t>September</w:t>
      </w:r>
      <w:r w:rsidR="00C20F8B">
        <w:rPr>
          <w:rFonts w:ascii="CG Times (WN)" w:hAnsi="CG Times (WN)"/>
        </w:rPr>
        <w:t xml:space="preserve"> 3</w:t>
      </w:r>
      <w:r w:rsidR="005E5FAE">
        <w:rPr>
          <w:rFonts w:ascii="CG Times (WN)" w:hAnsi="CG Times (WN)"/>
        </w:rPr>
        <w:t>0</w:t>
      </w:r>
      <w:r w:rsidR="00C20F8B">
        <w:rPr>
          <w:rFonts w:ascii="CG Times (WN)" w:hAnsi="CG Times (WN)"/>
        </w:rPr>
        <w:t>, 20</w:t>
      </w:r>
      <w:r w:rsidR="00717940">
        <w:rPr>
          <w:rFonts w:ascii="CG Times (WN)" w:hAnsi="CG Times (WN)"/>
        </w:rPr>
        <w:t>2</w:t>
      </w:r>
      <w:r>
        <w:rPr>
          <w:rFonts w:ascii="CG Times (WN)" w:hAnsi="CG Times (WN)"/>
        </w:rPr>
        <w:t>2</w:t>
      </w:r>
      <w:r w:rsidR="00C20F8B">
        <w:rPr>
          <w:rFonts w:ascii="CG Times (WN)" w:hAnsi="CG Times (WN)"/>
        </w:rPr>
        <w:t xml:space="preserve"> </w:t>
      </w:r>
      <w:r w:rsidR="00C20F8B" w:rsidRPr="00C5141A">
        <w:rPr>
          <w:rFonts w:ascii="CG Times (WN)" w:hAnsi="CG Times (WN)"/>
        </w:rPr>
        <w:t>was</w:t>
      </w:r>
      <w:r>
        <w:rPr>
          <w:rFonts w:ascii="CG Times (WN)" w:hAnsi="CG Times (WN)"/>
        </w:rPr>
        <w:t xml:space="preserve"> $</w:t>
      </w:r>
      <w:r w:rsidR="00B13BB8">
        <w:rPr>
          <w:rFonts w:ascii="CG Times (WN)" w:hAnsi="CG Times (WN)"/>
        </w:rPr>
        <w:t>44,089</w:t>
      </w:r>
      <w:r>
        <w:rPr>
          <w:rFonts w:ascii="CG Times (WN)" w:hAnsi="CG Times (WN)"/>
        </w:rPr>
        <w:t xml:space="preserve"> and</w:t>
      </w:r>
      <w:r w:rsidR="00E5783E">
        <w:rPr>
          <w:rFonts w:ascii="CG Times (WN)" w:hAnsi="CG Times (WN)"/>
        </w:rPr>
        <w:t xml:space="preserve"> $</w:t>
      </w:r>
      <w:r w:rsidR="00C54F42">
        <w:rPr>
          <w:rFonts w:ascii="CG Times (WN)" w:hAnsi="CG Times (WN)"/>
        </w:rPr>
        <w:t>132,267</w:t>
      </w:r>
      <w:r w:rsidR="00C20F8B">
        <w:rPr>
          <w:rFonts w:ascii="CG Times (WN)" w:hAnsi="CG Times (WN)"/>
        </w:rPr>
        <w:t>, respectively</w:t>
      </w:r>
      <w:r w:rsidR="005E5FAE">
        <w:rPr>
          <w:rFonts w:ascii="CG Times (WN)" w:hAnsi="CG Times (WN)"/>
        </w:rPr>
        <w:t xml:space="preserve">, as compared to </w:t>
      </w:r>
      <w:r w:rsidR="005E5FAE" w:rsidRPr="00C54F42">
        <w:rPr>
          <w:rFonts w:ascii="CG Times (WN)" w:hAnsi="CG Times (WN)"/>
        </w:rPr>
        <w:t>$42,803 and $</w:t>
      </w:r>
      <w:r w:rsidR="00C54F42" w:rsidRPr="00C54F42">
        <w:rPr>
          <w:rFonts w:ascii="CG Times (WN)" w:hAnsi="CG Times (WN)"/>
        </w:rPr>
        <w:t>128,410</w:t>
      </w:r>
      <w:r w:rsidR="00872ED1">
        <w:rPr>
          <w:rFonts w:ascii="CG Times (WN)" w:hAnsi="CG Times (WN)"/>
        </w:rPr>
        <w:t>, respectively, for the same periods of 2021</w:t>
      </w:r>
      <w:r w:rsidR="00C20F8B" w:rsidRPr="00C20F8B">
        <w:t xml:space="preserve">. </w:t>
      </w:r>
      <w:r w:rsidRPr="007947EE">
        <w:t>Future minimum lease payments total $</w:t>
      </w:r>
      <w:r w:rsidR="00C54F42">
        <w:t>44,089</w:t>
      </w:r>
      <w:r w:rsidRPr="007947EE">
        <w:t xml:space="preserve"> in 2022.</w:t>
      </w:r>
      <w:r w:rsidR="00C54F42">
        <w:t xml:space="preserve"> </w:t>
      </w:r>
    </w:p>
    <w:p w14:paraId="0D8C68BA" w14:textId="5E9A659C" w:rsidR="007947EE" w:rsidRDefault="007947EE" w:rsidP="00C20F8B">
      <w:pPr>
        <w:rPr>
          <w:bCs/>
        </w:rPr>
      </w:pPr>
    </w:p>
    <w:p w14:paraId="2A09F17B" w14:textId="23645226" w:rsidR="006120AB" w:rsidRDefault="007947EE" w:rsidP="007947EE">
      <w:r w:rsidRPr="007947EE">
        <w:rPr>
          <w:bCs/>
          <w:i/>
          <w:iCs/>
        </w:rPr>
        <w:t>License Agreements</w:t>
      </w:r>
      <w:r w:rsidR="00307685">
        <w:rPr>
          <w:bCs/>
          <w:i/>
          <w:iCs/>
        </w:rPr>
        <w:t xml:space="preserve"> – </w:t>
      </w:r>
      <w:r w:rsidRPr="007947EE">
        <w:rPr>
          <w:bCs/>
        </w:rPr>
        <w:t>We have entered into license agreements</w:t>
      </w:r>
      <w:r w:rsidRPr="007947EE">
        <w:t xml:space="preserve"> for various technologies and patent rights associated with our product development activities. These agreements may contain provisions for upfront payments, milestone fees </w:t>
      </w:r>
      <w:r w:rsidRPr="007947EE">
        <w:rPr>
          <w:bCs/>
        </w:rPr>
        <w:t xml:space="preserve">due upon the achievement of selected development and regulatory events, minimum annual royalties or other fees, </w:t>
      </w:r>
      <w:r w:rsidRPr="007947EE">
        <w:t xml:space="preserve">and royalties based on future net sales. </w:t>
      </w:r>
      <w:r w:rsidR="006120AB">
        <w:t>U</w:t>
      </w:r>
      <w:r w:rsidRPr="007947EE">
        <w:t>nrecorded future minimum payments under these agreements (excluding milestone and royalty payments due upon contingent future events) are approximately</w:t>
      </w:r>
      <w:r w:rsidR="006120AB">
        <w:t xml:space="preserve"> $409,000 in the aggregate.</w:t>
      </w:r>
    </w:p>
    <w:p w14:paraId="1433D022" w14:textId="276C444C" w:rsidR="00883379" w:rsidRDefault="00883379" w:rsidP="00C20F8B">
      <w:pPr>
        <w:rPr>
          <w:bCs/>
        </w:rPr>
      </w:pPr>
    </w:p>
    <w:p w14:paraId="58233000" w14:textId="6570295A" w:rsidR="008B23CA" w:rsidRDefault="006120AB" w:rsidP="00C20F8B">
      <w:pPr>
        <w:rPr>
          <w:bCs/>
        </w:rPr>
      </w:pPr>
      <w:r w:rsidRPr="006120AB">
        <w:rPr>
          <w:bCs/>
          <w:i/>
          <w:iCs/>
        </w:rPr>
        <w:t>Clinical Trial Commitments</w:t>
      </w:r>
      <w:r>
        <w:rPr>
          <w:bCs/>
        </w:rPr>
        <w:t xml:space="preserve"> – We have</w:t>
      </w:r>
      <w:r w:rsidR="008B23CA">
        <w:rPr>
          <w:bCs/>
        </w:rPr>
        <w:t xml:space="preserve"> entered into agreements with contract research organizations (“CROs”) </w:t>
      </w:r>
      <w:r>
        <w:rPr>
          <w:bCs/>
        </w:rPr>
        <w:t>and with testing sites</w:t>
      </w:r>
      <w:r w:rsidR="00A542A7">
        <w:rPr>
          <w:bCs/>
        </w:rPr>
        <w:t xml:space="preserve"> </w:t>
      </w:r>
      <w:r w:rsidR="008B23CA">
        <w:rPr>
          <w:bCs/>
        </w:rPr>
        <w:t xml:space="preserve">to conduct clinical trials </w:t>
      </w:r>
      <w:r>
        <w:rPr>
          <w:bCs/>
        </w:rPr>
        <w:t>of our products under development</w:t>
      </w:r>
      <w:r w:rsidR="008B23CA">
        <w:rPr>
          <w:bCs/>
        </w:rPr>
        <w:t>.  Contracts with CROs are generally cancellable</w:t>
      </w:r>
      <w:r w:rsidR="00AF4E3F">
        <w:rPr>
          <w:bCs/>
        </w:rPr>
        <w:t xml:space="preserve"> </w:t>
      </w:r>
      <w:r w:rsidR="008B23CA">
        <w:rPr>
          <w:bCs/>
        </w:rPr>
        <w:t>with notice</w:t>
      </w:r>
      <w:r w:rsidR="00AF4E3F">
        <w:rPr>
          <w:bCs/>
        </w:rPr>
        <w:t xml:space="preserve">. </w:t>
      </w:r>
      <w:r>
        <w:rPr>
          <w:bCs/>
        </w:rPr>
        <w:t>We have</w:t>
      </w:r>
      <w:r w:rsidR="008B23CA">
        <w:rPr>
          <w:bCs/>
        </w:rPr>
        <w:t xml:space="preserve"> </w:t>
      </w:r>
      <w:r>
        <w:rPr>
          <w:bCs/>
        </w:rPr>
        <w:t xml:space="preserve">also </w:t>
      </w:r>
      <w:r w:rsidR="008B23CA">
        <w:rPr>
          <w:bCs/>
        </w:rPr>
        <w:t>entered into arrangements with contract manufacturing organizations (“CMOs”) to produce materials for use in</w:t>
      </w:r>
      <w:r>
        <w:rPr>
          <w:bCs/>
        </w:rPr>
        <w:t xml:space="preserve"> our</w:t>
      </w:r>
      <w:r w:rsidR="008B23CA">
        <w:rPr>
          <w:bCs/>
        </w:rPr>
        <w:t xml:space="preserve"> clinical trials. These contracts generally provide for non-cancellable obligations or cancellation penalties depending on the time of cancellation. As of September 30, 2022, the total non-cancellable obligations under contracts with CMOs were approximately $</w:t>
      </w:r>
      <w:r w:rsidR="00AC4298">
        <w:rPr>
          <w:bCs/>
        </w:rPr>
        <w:t>1.2 million</w:t>
      </w:r>
      <w:r w:rsidR="008B23CA">
        <w:rPr>
          <w:bCs/>
        </w:rPr>
        <w:t>.</w:t>
      </w:r>
    </w:p>
    <w:p w14:paraId="5F9AD03D" w14:textId="51339438" w:rsidR="008B23CA" w:rsidRDefault="008B23CA" w:rsidP="00C20F8B">
      <w:pPr>
        <w:rPr>
          <w:bCs/>
        </w:rPr>
      </w:pPr>
    </w:p>
    <w:p w14:paraId="4083F38F" w14:textId="66F7A0BA" w:rsidR="00C20F8B" w:rsidRPr="00307685" w:rsidRDefault="00C20F8B" w:rsidP="007947EE">
      <w:pPr>
        <w:rPr>
          <w:bCs/>
          <w:i/>
        </w:rPr>
      </w:pPr>
      <w:r w:rsidRPr="00C20F8B">
        <w:rPr>
          <w:bCs/>
          <w:i/>
        </w:rPr>
        <w:t>Other Commitments</w:t>
      </w:r>
      <w:r w:rsidR="00307685">
        <w:rPr>
          <w:bCs/>
          <w:i/>
        </w:rPr>
        <w:t xml:space="preserve"> – </w:t>
      </w:r>
      <w:r w:rsidRPr="00C20F8B">
        <w:t xml:space="preserve">In the normal course of business, we enter into various firm purchase commitments </w:t>
      </w:r>
      <w:r w:rsidR="00787E33">
        <w:t xml:space="preserve">and other contractual obligations </w:t>
      </w:r>
      <w:r w:rsidRPr="00C20F8B">
        <w:t xml:space="preserve">related to production and testing of our </w:t>
      </w:r>
      <w:r w:rsidR="00787E33">
        <w:t>product candidates</w:t>
      </w:r>
      <w:r w:rsidRPr="00C20F8B">
        <w:t>, conduct of</w:t>
      </w:r>
      <w:r w:rsidR="00EB7440">
        <w:t xml:space="preserve"> clinical trials and preclinical</w:t>
      </w:r>
      <w:r w:rsidRPr="00C20F8B">
        <w:t xml:space="preserve"> research studies, and other activities. As of </w:t>
      </w:r>
      <w:r w:rsidR="00AC4298">
        <w:t>September</w:t>
      </w:r>
      <w:r w:rsidRPr="00C20F8B">
        <w:t xml:space="preserve"> 3</w:t>
      </w:r>
      <w:r w:rsidR="00872ED1">
        <w:t>0</w:t>
      </w:r>
      <w:r w:rsidRPr="00C20F8B">
        <w:t>, 20</w:t>
      </w:r>
      <w:r w:rsidR="00717940">
        <w:t>2</w:t>
      </w:r>
      <w:r w:rsidR="007947EE">
        <w:t>2</w:t>
      </w:r>
      <w:r w:rsidRPr="00C20F8B">
        <w:t xml:space="preserve">, </w:t>
      </w:r>
      <w:r w:rsidR="00BE61F2">
        <w:t>there are</w:t>
      </w:r>
      <w:r w:rsidRPr="00C20F8B">
        <w:t xml:space="preserve"> approximately $</w:t>
      </w:r>
      <w:r w:rsidR="00AC4298">
        <w:t>612</w:t>
      </w:r>
      <w:r w:rsidR="00974E79">
        <w:t>,000</w:t>
      </w:r>
      <w:r w:rsidRPr="00C20F8B">
        <w:t xml:space="preserve"> of unrecorded </w:t>
      </w:r>
      <w:r w:rsidR="00D518B5">
        <w:t>noncancelable</w:t>
      </w:r>
      <w:r w:rsidRPr="00C20F8B">
        <w:t xml:space="preserve"> purchase commitments to our vendors and subcontractors</w:t>
      </w:r>
      <w:r w:rsidR="00AC4298">
        <w:t>.</w:t>
      </w:r>
    </w:p>
    <w:p w14:paraId="797486BB" w14:textId="77777777" w:rsidR="00C54F42" w:rsidRDefault="00C54F42" w:rsidP="007947EE"/>
    <w:p w14:paraId="17DCCEEA" w14:textId="2821AFF1" w:rsidR="00881E20" w:rsidRDefault="00716911" w:rsidP="000A55AE">
      <w:pPr>
        <w:pStyle w:val="ListNumbering"/>
        <w:spacing w:after="0"/>
      </w:pPr>
      <w:r>
        <w:t>5</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6776F598" w14:textId="0D8AC253" w:rsidR="003F6C32" w:rsidRDefault="00872ED1" w:rsidP="003F6C32">
      <w:pPr>
        <w:pStyle w:val="BodyTitle"/>
        <w:spacing w:after="0"/>
        <w:rPr>
          <w:bCs/>
          <w:u w:val="none"/>
        </w:rPr>
      </w:pPr>
      <w:r>
        <w:rPr>
          <w:rFonts w:eastAsia="Times New Roman"/>
          <w:i/>
          <w:iCs/>
          <w:u w:val="none"/>
        </w:rPr>
        <w:t xml:space="preserve">January 2022 </w:t>
      </w:r>
      <w:r w:rsidR="003F6C32" w:rsidRPr="003F6C32">
        <w:rPr>
          <w:rFonts w:eastAsia="Times New Roman"/>
          <w:i/>
          <w:iCs/>
          <w:u w:val="none"/>
        </w:rPr>
        <w:t>Private Placement</w:t>
      </w:r>
      <w:r>
        <w:rPr>
          <w:rFonts w:eastAsia="Times New Roman"/>
          <w:i/>
          <w:iCs/>
          <w:u w:val="none"/>
        </w:rPr>
        <w:t xml:space="preserve"> </w:t>
      </w:r>
      <w:r w:rsidR="008C0ABC" w:rsidRPr="003F6C32">
        <w:rPr>
          <w:rFonts w:eastAsia="Times New Roman"/>
          <w:i/>
          <w:iCs/>
          <w:u w:val="none"/>
        </w:rPr>
        <w:t xml:space="preserve"> – </w:t>
      </w:r>
      <w:r w:rsidR="003F6C32" w:rsidRPr="003F6C32">
        <w:rPr>
          <w:u w:val="none"/>
        </w:rPr>
        <w:t xml:space="preserve">On January 19, 2022, we closed a private placement of </w:t>
      </w:r>
      <w:r w:rsidR="003F6C32" w:rsidRPr="003F6C32">
        <w:rPr>
          <w:bCs/>
          <w:u w:val="none"/>
        </w:rPr>
        <w:t xml:space="preserve">707,484 shares of common stock, </w:t>
      </w:r>
      <w:r w:rsidR="00931027">
        <w:rPr>
          <w:bCs/>
          <w:u w:val="none"/>
        </w:rPr>
        <w:t xml:space="preserve">a pre-funded warrant to purchase </w:t>
      </w:r>
      <w:r w:rsidR="003F6C32" w:rsidRPr="003F6C32">
        <w:rPr>
          <w:bCs/>
          <w:u w:val="none"/>
        </w:rPr>
        <w:t xml:space="preserve">2,360,000 </w:t>
      </w:r>
      <w:r w:rsidR="00DE52E2">
        <w:rPr>
          <w:bCs/>
          <w:u w:val="none"/>
        </w:rPr>
        <w:t>shares of</w:t>
      </w:r>
      <w:r w:rsidR="003F6C32" w:rsidRPr="003F6C32">
        <w:rPr>
          <w:bCs/>
          <w:u w:val="none"/>
        </w:rPr>
        <w:t xml:space="preserve"> common stock</w:t>
      </w:r>
      <w:r w:rsidR="00DE52E2">
        <w:rPr>
          <w:bCs/>
          <w:u w:val="none"/>
        </w:rPr>
        <w:t xml:space="preserve"> </w:t>
      </w:r>
      <w:r w:rsidR="005F1A36">
        <w:rPr>
          <w:bCs/>
          <w:u w:val="none"/>
        </w:rPr>
        <w:t xml:space="preserve">for a nominal exercise price per share </w:t>
      </w:r>
      <w:r w:rsidR="00DE52E2">
        <w:rPr>
          <w:bCs/>
          <w:u w:val="none"/>
        </w:rPr>
        <w:t>(the “</w:t>
      </w:r>
      <w:r w:rsidR="00A71EE6">
        <w:rPr>
          <w:bCs/>
          <w:u w:val="none"/>
        </w:rPr>
        <w:t>Jan</w:t>
      </w:r>
      <w:r w:rsidR="000A6F1B">
        <w:rPr>
          <w:bCs/>
          <w:u w:val="none"/>
        </w:rPr>
        <w:t xml:space="preserve"> 2022</w:t>
      </w:r>
      <w:r w:rsidR="00A71EE6">
        <w:rPr>
          <w:bCs/>
          <w:u w:val="none"/>
        </w:rPr>
        <w:t xml:space="preserve"> </w:t>
      </w:r>
      <w:r w:rsidR="00DE52E2">
        <w:rPr>
          <w:bCs/>
          <w:u w:val="none"/>
        </w:rPr>
        <w:t>Pre-Funded Warrant”)</w:t>
      </w:r>
      <w:r w:rsidR="003F6C32" w:rsidRPr="003F6C32">
        <w:rPr>
          <w:bCs/>
          <w:u w:val="none"/>
        </w:rPr>
        <w:t xml:space="preserve">, and </w:t>
      </w:r>
      <w:r w:rsidR="00931027">
        <w:rPr>
          <w:bCs/>
          <w:u w:val="none"/>
        </w:rPr>
        <w:t>a</w:t>
      </w:r>
      <w:r w:rsidR="003F6C32" w:rsidRPr="003F6C32">
        <w:rPr>
          <w:bCs/>
          <w:u w:val="none"/>
        </w:rPr>
        <w:t xml:space="preserve"> warrant to purchase up to 3,067,484 shares of common stock</w:t>
      </w:r>
      <w:r w:rsidR="00931027">
        <w:rPr>
          <w:bCs/>
          <w:u w:val="none"/>
        </w:rPr>
        <w:t xml:space="preserve"> at an exercise price of </w:t>
      </w:r>
      <w:r w:rsidR="00931027">
        <w:rPr>
          <w:bCs/>
          <w:u w:val="none"/>
        </w:rPr>
        <w:lastRenderedPageBreak/>
        <w:t>$3.26 per share</w:t>
      </w:r>
      <w:r w:rsidR="00DE52E2">
        <w:rPr>
          <w:bCs/>
          <w:u w:val="none"/>
        </w:rPr>
        <w:t xml:space="preserve"> (the “</w:t>
      </w:r>
      <w:r w:rsidR="00A71EE6">
        <w:rPr>
          <w:bCs/>
          <w:u w:val="none"/>
        </w:rPr>
        <w:t>Jan</w:t>
      </w:r>
      <w:r w:rsidR="000A6F1B">
        <w:rPr>
          <w:bCs/>
          <w:u w:val="none"/>
        </w:rPr>
        <w:t xml:space="preserve"> 2022</w:t>
      </w:r>
      <w:r w:rsidR="00A71EE6">
        <w:rPr>
          <w:bCs/>
          <w:u w:val="none"/>
        </w:rPr>
        <w:t xml:space="preserve"> </w:t>
      </w:r>
      <w:r w:rsidR="00DE52E2">
        <w:rPr>
          <w:bCs/>
          <w:u w:val="none"/>
        </w:rPr>
        <w:t>Common Warrant”)</w:t>
      </w:r>
      <w:r w:rsidR="003F6C32" w:rsidRPr="003F6C32">
        <w:rPr>
          <w:bCs/>
          <w:u w:val="none"/>
        </w:rPr>
        <w:t xml:space="preserve">. </w:t>
      </w:r>
      <w:r w:rsidR="003F6C32" w:rsidRPr="003F6C32">
        <w:rPr>
          <w:u w:val="none"/>
        </w:rPr>
        <w:t>Net proceeds after deducting placement agent commissions and other offering expenses were approximately $9.2 million.</w:t>
      </w:r>
      <w:r w:rsidR="00A967B3" w:rsidRPr="00A967B3">
        <w:rPr>
          <w:bCs/>
          <w:u w:val="none"/>
        </w:rPr>
        <w:t xml:space="preserve"> </w:t>
      </w:r>
      <w:r w:rsidR="00A967B3">
        <w:rPr>
          <w:bCs/>
          <w:u w:val="none"/>
        </w:rPr>
        <w:t xml:space="preserve">During March 2022, the </w:t>
      </w:r>
      <w:r w:rsidR="00A71EE6">
        <w:rPr>
          <w:bCs/>
          <w:u w:val="none"/>
        </w:rPr>
        <w:t>Jan</w:t>
      </w:r>
      <w:r w:rsidR="000A6F1B">
        <w:rPr>
          <w:bCs/>
          <w:u w:val="none"/>
        </w:rPr>
        <w:t xml:space="preserve"> 2022</w:t>
      </w:r>
      <w:r w:rsidR="00A71EE6">
        <w:rPr>
          <w:bCs/>
          <w:u w:val="none"/>
        </w:rPr>
        <w:t xml:space="preserve"> </w:t>
      </w:r>
      <w:r w:rsidR="00A967B3">
        <w:rPr>
          <w:bCs/>
          <w:u w:val="none"/>
        </w:rPr>
        <w:t>Pre-Funded Warrant was exercised in full.</w:t>
      </w:r>
      <w:r w:rsidR="00B24904">
        <w:rPr>
          <w:bCs/>
          <w:u w:val="none"/>
        </w:rPr>
        <w:t xml:space="preserve"> T</w:t>
      </w:r>
      <w:r w:rsidR="00A967B3">
        <w:rPr>
          <w:bCs/>
          <w:u w:val="none"/>
        </w:rPr>
        <w:t xml:space="preserve">he </w:t>
      </w:r>
      <w:r w:rsidR="00A71EE6">
        <w:rPr>
          <w:bCs/>
          <w:u w:val="none"/>
        </w:rPr>
        <w:t>Jan</w:t>
      </w:r>
      <w:r w:rsidR="000A6F1B">
        <w:rPr>
          <w:bCs/>
          <w:u w:val="none"/>
        </w:rPr>
        <w:t xml:space="preserve"> 2022</w:t>
      </w:r>
      <w:r w:rsidR="00A71EE6">
        <w:rPr>
          <w:bCs/>
          <w:u w:val="none"/>
        </w:rPr>
        <w:t xml:space="preserve"> </w:t>
      </w:r>
      <w:r w:rsidR="00A967B3">
        <w:rPr>
          <w:bCs/>
          <w:u w:val="none"/>
        </w:rPr>
        <w:t>Common Warrant</w:t>
      </w:r>
      <w:r w:rsidR="00A967B3" w:rsidRPr="003F6C32">
        <w:rPr>
          <w:bCs/>
          <w:u w:val="none"/>
        </w:rPr>
        <w:t xml:space="preserve"> </w:t>
      </w:r>
      <w:r w:rsidR="00B24904">
        <w:rPr>
          <w:bCs/>
          <w:u w:val="none"/>
        </w:rPr>
        <w:t>is currently</w:t>
      </w:r>
      <w:r w:rsidR="00A967B3" w:rsidRPr="003F6C32">
        <w:rPr>
          <w:bCs/>
          <w:u w:val="none"/>
        </w:rPr>
        <w:t xml:space="preserve"> exercisable</w:t>
      </w:r>
      <w:r w:rsidR="00B24904">
        <w:rPr>
          <w:bCs/>
          <w:u w:val="none"/>
        </w:rPr>
        <w:t xml:space="preserve"> and</w:t>
      </w:r>
      <w:r w:rsidR="00A967B3">
        <w:rPr>
          <w:bCs/>
          <w:u w:val="none"/>
        </w:rPr>
        <w:t xml:space="preserve"> </w:t>
      </w:r>
      <w:r w:rsidR="00A967B3" w:rsidRPr="003F6C32">
        <w:rPr>
          <w:bCs/>
          <w:u w:val="none"/>
        </w:rPr>
        <w:t>will expire</w:t>
      </w:r>
      <w:r w:rsidR="00A967B3">
        <w:rPr>
          <w:bCs/>
          <w:u w:val="none"/>
        </w:rPr>
        <w:t xml:space="preserve"> on February 10, 2027</w:t>
      </w:r>
      <w:r w:rsidR="00B24904">
        <w:rPr>
          <w:bCs/>
          <w:u w:val="none"/>
        </w:rPr>
        <w:t>.</w:t>
      </w:r>
    </w:p>
    <w:p w14:paraId="42549B5D" w14:textId="42D904FE" w:rsidR="00872ED1" w:rsidRDefault="00872ED1" w:rsidP="003F6C32">
      <w:pPr>
        <w:pStyle w:val="BodyTitle"/>
        <w:spacing w:after="0"/>
        <w:rPr>
          <w:bCs/>
          <w:u w:val="none"/>
        </w:rPr>
      </w:pPr>
    </w:p>
    <w:p w14:paraId="6CEAF668" w14:textId="77777777" w:rsidR="00937753" w:rsidRDefault="00872ED1" w:rsidP="00913720">
      <w:pPr>
        <w:pStyle w:val="BodyTitle"/>
        <w:spacing w:after="0"/>
        <w:rPr>
          <w:bCs/>
          <w:u w:val="none"/>
        </w:rPr>
      </w:pPr>
      <w:r>
        <w:rPr>
          <w:rFonts w:eastAsia="Times New Roman"/>
          <w:i/>
          <w:iCs/>
          <w:u w:val="none"/>
        </w:rPr>
        <w:t xml:space="preserve">May 2022 </w:t>
      </w:r>
      <w:r w:rsidRPr="003F6C32">
        <w:rPr>
          <w:rFonts w:eastAsia="Times New Roman"/>
          <w:i/>
          <w:iCs/>
          <w:u w:val="none"/>
        </w:rPr>
        <w:t>Private Placement</w:t>
      </w:r>
      <w:r>
        <w:rPr>
          <w:rFonts w:eastAsia="Times New Roman"/>
          <w:i/>
          <w:iCs/>
          <w:u w:val="none"/>
        </w:rPr>
        <w:t xml:space="preserve"> </w:t>
      </w:r>
      <w:r w:rsidRPr="003F6C32">
        <w:rPr>
          <w:rFonts w:eastAsia="Times New Roman"/>
          <w:i/>
          <w:iCs/>
          <w:u w:val="none"/>
        </w:rPr>
        <w:t xml:space="preserve"> –</w:t>
      </w:r>
      <w:r>
        <w:rPr>
          <w:u w:val="none"/>
        </w:rPr>
        <w:t xml:space="preserve"> </w:t>
      </w:r>
      <w:r w:rsidR="00913720" w:rsidRPr="003F6C32">
        <w:rPr>
          <w:u w:val="none"/>
        </w:rPr>
        <w:t xml:space="preserve">On </w:t>
      </w:r>
      <w:r w:rsidR="00913720">
        <w:rPr>
          <w:u w:val="none"/>
        </w:rPr>
        <w:t>May</w:t>
      </w:r>
      <w:r w:rsidR="00913720" w:rsidRPr="003F6C32">
        <w:rPr>
          <w:u w:val="none"/>
        </w:rPr>
        <w:t xml:space="preserve"> </w:t>
      </w:r>
      <w:r w:rsidR="00913720">
        <w:rPr>
          <w:u w:val="none"/>
        </w:rPr>
        <w:t>27</w:t>
      </w:r>
      <w:r w:rsidR="00913720" w:rsidRPr="003F6C32">
        <w:rPr>
          <w:u w:val="none"/>
        </w:rPr>
        <w:t xml:space="preserve">, 2022, we closed a private placement of </w:t>
      </w:r>
      <w:r w:rsidR="00913720">
        <w:rPr>
          <w:bCs/>
          <w:u w:val="none"/>
        </w:rPr>
        <w:t>1,050,000</w:t>
      </w:r>
      <w:r w:rsidR="00913720" w:rsidRPr="003F6C32">
        <w:rPr>
          <w:bCs/>
          <w:u w:val="none"/>
        </w:rPr>
        <w:t xml:space="preserve"> shares of common stock, </w:t>
      </w:r>
      <w:r w:rsidR="00913720">
        <w:rPr>
          <w:bCs/>
          <w:u w:val="none"/>
        </w:rPr>
        <w:t xml:space="preserve">pre-funded warrants to purchase </w:t>
      </w:r>
      <w:r w:rsidR="00A71EE6">
        <w:rPr>
          <w:bCs/>
          <w:u w:val="none"/>
        </w:rPr>
        <w:t xml:space="preserve">an aggregate of </w:t>
      </w:r>
      <w:r w:rsidR="00913720">
        <w:rPr>
          <w:bCs/>
          <w:u w:val="none"/>
        </w:rPr>
        <w:t>11,071,214</w:t>
      </w:r>
      <w:r w:rsidR="00913720" w:rsidRPr="003F6C32">
        <w:rPr>
          <w:bCs/>
          <w:u w:val="none"/>
        </w:rPr>
        <w:t xml:space="preserve"> </w:t>
      </w:r>
      <w:r w:rsidR="00913720">
        <w:rPr>
          <w:bCs/>
          <w:u w:val="none"/>
        </w:rPr>
        <w:t>shares of</w:t>
      </w:r>
      <w:r w:rsidR="00913720" w:rsidRPr="003F6C32">
        <w:rPr>
          <w:bCs/>
          <w:u w:val="none"/>
        </w:rPr>
        <w:t xml:space="preserve"> common stock</w:t>
      </w:r>
      <w:r w:rsidR="00913720">
        <w:rPr>
          <w:bCs/>
          <w:u w:val="none"/>
        </w:rPr>
        <w:t xml:space="preserve"> </w:t>
      </w:r>
      <w:r w:rsidR="00A71EE6">
        <w:rPr>
          <w:bCs/>
          <w:u w:val="none"/>
        </w:rPr>
        <w:t xml:space="preserve">for a nominal exercise price per share </w:t>
      </w:r>
      <w:r w:rsidR="00913720">
        <w:rPr>
          <w:bCs/>
          <w:u w:val="none"/>
        </w:rPr>
        <w:t>(the “</w:t>
      </w:r>
      <w:r w:rsidR="00A71EE6" w:rsidRPr="00A71EE6">
        <w:rPr>
          <w:bCs/>
          <w:u w:val="none"/>
        </w:rPr>
        <w:t xml:space="preserve">May </w:t>
      </w:r>
      <w:r w:rsidR="000A6F1B">
        <w:rPr>
          <w:bCs/>
          <w:u w:val="none"/>
        </w:rPr>
        <w:t xml:space="preserve">2022 </w:t>
      </w:r>
      <w:r w:rsidR="00913720" w:rsidRPr="00A71EE6">
        <w:rPr>
          <w:bCs/>
          <w:u w:val="none"/>
        </w:rPr>
        <w:t>Pre-Funded Warrant</w:t>
      </w:r>
      <w:r w:rsidR="00A71EE6" w:rsidRPr="00A71EE6">
        <w:rPr>
          <w:bCs/>
          <w:u w:val="none"/>
        </w:rPr>
        <w:t>s</w:t>
      </w:r>
      <w:r w:rsidR="00913720">
        <w:rPr>
          <w:bCs/>
          <w:u w:val="none"/>
        </w:rPr>
        <w:t>”)</w:t>
      </w:r>
      <w:r w:rsidR="00913720" w:rsidRPr="003F6C32">
        <w:rPr>
          <w:bCs/>
          <w:u w:val="none"/>
        </w:rPr>
        <w:t xml:space="preserve">, and </w:t>
      </w:r>
      <w:r w:rsidR="00913720">
        <w:rPr>
          <w:bCs/>
          <w:u w:val="none"/>
        </w:rPr>
        <w:t>preferred investment options</w:t>
      </w:r>
      <w:r w:rsidR="00913720" w:rsidRPr="003F6C32">
        <w:rPr>
          <w:bCs/>
          <w:u w:val="none"/>
        </w:rPr>
        <w:t xml:space="preserve"> to purchase up to</w:t>
      </w:r>
      <w:r w:rsidR="005F1A36">
        <w:rPr>
          <w:bCs/>
          <w:u w:val="none"/>
        </w:rPr>
        <w:t xml:space="preserve"> an aggregate of</w:t>
      </w:r>
      <w:r w:rsidR="00913720" w:rsidRPr="003F6C32">
        <w:rPr>
          <w:bCs/>
          <w:u w:val="none"/>
        </w:rPr>
        <w:t xml:space="preserve"> </w:t>
      </w:r>
      <w:r w:rsidR="00913720">
        <w:rPr>
          <w:bCs/>
          <w:u w:val="none"/>
        </w:rPr>
        <w:t xml:space="preserve">12,121,214 </w:t>
      </w:r>
      <w:r w:rsidR="00913720" w:rsidRPr="003F6C32">
        <w:rPr>
          <w:bCs/>
          <w:u w:val="none"/>
        </w:rPr>
        <w:t>shares of common stock</w:t>
      </w:r>
      <w:r w:rsidR="00913720">
        <w:rPr>
          <w:bCs/>
          <w:u w:val="none"/>
        </w:rPr>
        <w:t xml:space="preserve"> at an exercise price of $1.65 per share (the “</w:t>
      </w:r>
      <w:r w:rsidR="00A71EE6">
        <w:rPr>
          <w:bCs/>
          <w:u w:val="none"/>
        </w:rPr>
        <w:t xml:space="preserve">May </w:t>
      </w:r>
      <w:r w:rsidR="000A6F1B">
        <w:rPr>
          <w:bCs/>
          <w:u w:val="none"/>
        </w:rPr>
        <w:t xml:space="preserve">2022 </w:t>
      </w:r>
      <w:r w:rsidR="00A71EE6">
        <w:rPr>
          <w:bCs/>
          <w:u w:val="none"/>
        </w:rPr>
        <w:t>Preferred Investment Options</w:t>
      </w:r>
      <w:r w:rsidR="00913720">
        <w:rPr>
          <w:bCs/>
          <w:u w:val="none"/>
        </w:rPr>
        <w:t>”)</w:t>
      </w:r>
      <w:r w:rsidR="00913720" w:rsidRPr="003F6C32">
        <w:rPr>
          <w:bCs/>
          <w:u w:val="none"/>
        </w:rPr>
        <w:t xml:space="preserve">. </w:t>
      </w:r>
      <w:r w:rsidR="00913720" w:rsidRPr="003F6C32">
        <w:rPr>
          <w:u w:val="none"/>
        </w:rPr>
        <w:t>Net proceeds after deducting placement agent commissions and other offering expenses were approximately $</w:t>
      </w:r>
      <w:r w:rsidR="00156F0B">
        <w:rPr>
          <w:u w:val="none"/>
        </w:rPr>
        <w:t xml:space="preserve">18.5 </w:t>
      </w:r>
      <w:r w:rsidR="00913720" w:rsidRPr="003F6C32">
        <w:rPr>
          <w:u w:val="none"/>
        </w:rPr>
        <w:t>million.</w:t>
      </w:r>
      <w:r w:rsidR="00913720" w:rsidRPr="00A967B3">
        <w:rPr>
          <w:bCs/>
          <w:u w:val="none"/>
        </w:rPr>
        <w:t xml:space="preserve"> </w:t>
      </w:r>
    </w:p>
    <w:p w14:paraId="78A4695C" w14:textId="77777777" w:rsidR="00937753" w:rsidRDefault="00937753" w:rsidP="00913720">
      <w:pPr>
        <w:pStyle w:val="BodyTitle"/>
        <w:spacing w:after="0"/>
        <w:rPr>
          <w:bCs/>
          <w:u w:val="none"/>
        </w:rPr>
      </w:pPr>
    </w:p>
    <w:p w14:paraId="620D565B" w14:textId="437A14F6" w:rsidR="00B23663" w:rsidRDefault="00A71EE6" w:rsidP="00913720">
      <w:pPr>
        <w:pStyle w:val="BodyTitle"/>
        <w:spacing w:after="0"/>
        <w:rPr>
          <w:bCs/>
          <w:u w:val="none"/>
        </w:rPr>
      </w:pPr>
      <w:r>
        <w:rPr>
          <w:bCs/>
          <w:u w:val="none"/>
        </w:rPr>
        <w:t>The</w:t>
      </w:r>
      <w:r w:rsidR="00913720">
        <w:rPr>
          <w:bCs/>
          <w:u w:val="none"/>
        </w:rPr>
        <w:t xml:space="preserve"> </w:t>
      </w:r>
      <w:r>
        <w:rPr>
          <w:bCs/>
          <w:u w:val="none"/>
        </w:rPr>
        <w:t xml:space="preserve">May </w:t>
      </w:r>
      <w:r w:rsidR="000A6F1B">
        <w:rPr>
          <w:bCs/>
          <w:u w:val="none"/>
        </w:rPr>
        <w:t xml:space="preserve">2022 </w:t>
      </w:r>
      <w:r w:rsidR="00913720">
        <w:rPr>
          <w:bCs/>
          <w:u w:val="none"/>
        </w:rPr>
        <w:t>Pre-Funded Warrant</w:t>
      </w:r>
      <w:r>
        <w:rPr>
          <w:bCs/>
          <w:u w:val="none"/>
        </w:rPr>
        <w:t>s</w:t>
      </w:r>
      <w:r w:rsidR="00913720">
        <w:rPr>
          <w:bCs/>
          <w:u w:val="none"/>
        </w:rPr>
        <w:t xml:space="preserve"> </w:t>
      </w:r>
      <w:r>
        <w:rPr>
          <w:bCs/>
          <w:u w:val="none"/>
        </w:rPr>
        <w:t>were</w:t>
      </w:r>
      <w:r w:rsidR="00913720">
        <w:rPr>
          <w:bCs/>
          <w:u w:val="none"/>
        </w:rPr>
        <w:t xml:space="preserve"> exercised </w:t>
      </w:r>
      <w:r>
        <w:rPr>
          <w:bCs/>
          <w:u w:val="none"/>
        </w:rPr>
        <w:t>as to</w:t>
      </w:r>
      <w:r w:rsidR="00156F0B">
        <w:rPr>
          <w:bCs/>
          <w:u w:val="none"/>
        </w:rPr>
        <w:t xml:space="preserve"> 1,980,304 shares</w:t>
      </w:r>
      <w:r>
        <w:rPr>
          <w:bCs/>
          <w:u w:val="none"/>
        </w:rPr>
        <w:t xml:space="preserve"> concurrent with the closing</w:t>
      </w:r>
      <w:r w:rsidR="00156F0B">
        <w:rPr>
          <w:bCs/>
          <w:u w:val="none"/>
        </w:rPr>
        <w:t xml:space="preserve"> and during June </w:t>
      </w:r>
      <w:r w:rsidR="00B23663">
        <w:rPr>
          <w:bCs/>
          <w:u w:val="none"/>
        </w:rPr>
        <w:t>and July the remaining</w:t>
      </w:r>
      <w:r w:rsidR="00156F0B">
        <w:rPr>
          <w:bCs/>
          <w:u w:val="none"/>
        </w:rPr>
        <w:t xml:space="preserve"> </w:t>
      </w:r>
      <w:r w:rsidR="00B23663">
        <w:rPr>
          <w:bCs/>
          <w:u w:val="none"/>
        </w:rPr>
        <w:t>9,090,910</w:t>
      </w:r>
      <w:r w:rsidR="00156F0B">
        <w:rPr>
          <w:bCs/>
          <w:u w:val="none"/>
        </w:rPr>
        <w:t xml:space="preserve"> were </w:t>
      </w:r>
      <w:r w:rsidR="00B23663">
        <w:rPr>
          <w:bCs/>
          <w:u w:val="none"/>
        </w:rPr>
        <w:t xml:space="preserve">fully </w:t>
      </w:r>
      <w:r w:rsidR="00156F0B">
        <w:rPr>
          <w:bCs/>
          <w:u w:val="none"/>
        </w:rPr>
        <w:t>exercised</w:t>
      </w:r>
      <w:r w:rsidR="00B23663">
        <w:rPr>
          <w:bCs/>
          <w:u w:val="none"/>
        </w:rPr>
        <w:t>. During August, the May 2022 Preferred Investment Options were exercised as to 4,621,214 shares, resulting in net proceeds to us of approximately $7,62</w:t>
      </w:r>
      <w:r w:rsidR="004F3E9C">
        <w:rPr>
          <w:bCs/>
          <w:u w:val="none"/>
        </w:rPr>
        <w:t>6</w:t>
      </w:r>
      <w:r w:rsidR="00B23663">
        <w:rPr>
          <w:bCs/>
          <w:u w:val="none"/>
        </w:rPr>
        <w:t>,000.</w:t>
      </w:r>
    </w:p>
    <w:p w14:paraId="40560E09" w14:textId="434E928E" w:rsidR="000A55AE" w:rsidRDefault="000A55AE" w:rsidP="000A55AE">
      <w:pPr>
        <w:rPr>
          <w:color w:val="000000"/>
        </w:rPr>
      </w:pPr>
    </w:p>
    <w:p w14:paraId="0FC5649B" w14:textId="22853829" w:rsidR="004B3FF6" w:rsidRDefault="007D4278" w:rsidP="007D4278">
      <w:pPr>
        <w:jc w:val="both"/>
      </w:pPr>
      <w:r w:rsidRPr="008C0ABC">
        <w:rPr>
          <w:i/>
          <w:iCs/>
        </w:rPr>
        <w:t>Other Common Stock Transactions</w:t>
      </w:r>
      <w:r>
        <w:t xml:space="preserve"> – </w:t>
      </w:r>
      <w:bookmarkStart w:id="22" w:name="_Hlk108625276"/>
      <w:r w:rsidR="004B3FF6">
        <w:t>During May and July, we issued 68,500 and 75,000 shares, respectively, of our common stock pursuant to consulting agreements.</w:t>
      </w:r>
    </w:p>
    <w:bookmarkEnd w:id="22"/>
    <w:p w14:paraId="485999A4" w14:textId="77777777" w:rsidR="004B3FF6" w:rsidRDefault="004B3FF6" w:rsidP="000A55AE">
      <w:pPr>
        <w:rPr>
          <w:color w:val="000000"/>
        </w:rPr>
      </w:pPr>
    </w:p>
    <w:p w14:paraId="2C613F8E" w14:textId="0661C971" w:rsidR="006F0BD4" w:rsidRPr="00F53171" w:rsidRDefault="006F0BD4" w:rsidP="006F0BD4">
      <w:pPr>
        <w:pStyle w:val="BodyTitle"/>
        <w:spacing w:after="0"/>
        <w:rPr>
          <w:i/>
          <w:u w:val="none"/>
        </w:rPr>
      </w:pPr>
      <w:r w:rsidRPr="006F0BD4">
        <w:rPr>
          <w:i/>
          <w:iCs/>
          <w:u w:val="none"/>
        </w:rPr>
        <w:t>Stock Options</w:t>
      </w:r>
      <w:r>
        <w:rPr>
          <w:u w:val="none"/>
        </w:rPr>
        <w:t xml:space="preserve"> – </w:t>
      </w: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1,500,000 shares of our common stock are reserved for issuance pursuant to the 2020 Plan.  During the </w:t>
      </w:r>
      <w:r w:rsidR="0041620A">
        <w:rPr>
          <w:color w:val="000000"/>
          <w:u w:val="none"/>
        </w:rPr>
        <w:t>nine</w:t>
      </w:r>
      <w:r w:rsidRPr="00DC136D">
        <w:rPr>
          <w:color w:val="000000"/>
          <w:u w:val="none"/>
        </w:rPr>
        <w:t xml:space="preserve"> months ended </w:t>
      </w:r>
      <w:r w:rsidR="0041620A">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were no stock option transactions related to the 2020 Plan.  As of </w:t>
      </w:r>
      <w:r w:rsidR="0041620A">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t>
      </w:r>
      <w:r>
        <w:rPr>
          <w:color w:val="000000"/>
          <w:u w:val="none"/>
        </w:rPr>
        <w:t>are</w:t>
      </w:r>
      <w:r w:rsidRPr="00DC136D">
        <w:rPr>
          <w:color w:val="000000"/>
          <w:u w:val="none"/>
        </w:rPr>
        <w:t xml:space="preserve"> </w:t>
      </w:r>
      <w:r>
        <w:rPr>
          <w:color w:val="000000"/>
          <w:u w:val="none"/>
        </w:rPr>
        <w:t>962,300</w:t>
      </w:r>
      <w:r w:rsidRPr="00DC136D">
        <w:rPr>
          <w:color w:val="000000"/>
          <w:u w:val="none"/>
        </w:rPr>
        <w:t xml:space="preserve"> stock options</w:t>
      </w:r>
      <w:r w:rsidRPr="00100CAB">
        <w:rPr>
          <w:color w:val="000000"/>
          <w:u w:val="none"/>
        </w:rPr>
        <w:t xml:space="preserve"> outstanding, with a weighted-average exercise price of $</w:t>
      </w:r>
      <w:r>
        <w:rPr>
          <w:color w:val="000000"/>
          <w:u w:val="none"/>
        </w:rPr>
        <w:t>3.18</w:t>
      </w:r>
      <w:r w:rsidRPr="00100CAB">
        <w:rPr>
          <w:color w:val="000000"/>
          <w:u w:val="none"/>
        </w:rPr>
        <w:t xml:space="preserve"> per share and a weighted-average remaining term </w:t>
      </w:r>
      <w:r w:rsidRPr="0041620A">
        <w:rPr>
          <w:color w:val="000000"/>
          <w:u w:val="none"/>
        </w:rPr>
        <w:t>of 8.</w:t>
      </w:r>
      <w:r w:rsidR="0041620A" w:rsidRPr="0041620A">
        <w:rPr>
          <w:color w:val="000000"/>
          <w:u w:val="none"/>
        </w:rPr>
        <w:t>6</w:t>
      </w:r>
      <w:r w:rsidRPr="0041620A">
        <w:rPr>
          <w:color w:val="000000"/>
          <w:u w:val="none"/>
        </w:rPr>
        <w:t xml:space="preserve"> years</w:t>
      </w:r>
      <w:r w:rsidRPr="00E711A1">
        <w:rPr>
          <w:color w:val="000000"/>
          <w:u w:val="none"/>
        </w:rPr>
        <w:t>.</w:t>
      </w:r>
    </w:p>
    <w:p w14:paraId="1CDEDA16" w14:textId="77777777" w:rsidR="006F0BD4" w:rsidRDefault="006F0BD4" w:rsidP="000A55AE">
      <w:pPr>
        <w:rPr>
          <w:color w:val="000000"/>
        </w:rPr>
      </w:pPr>
    </w:p>
    <w:p w14:paraId="28175D43" w14:textId="37FEB300" w:rsidR="00541CEB" w:rsidRPr="00541CEB" w:rsidRDefault="00541CEB" w:rsidP="008A6593">
      <w:pPr>
        <w:suppressAutoHyphens/>
        <w:spacing w:line="240" w:lineRule="exact"/>
        <w:rPr>
          <w:color w:val="000000"/>
        </w:rPr>
      </w:pPr>
      <w:r w:rsidRPr="008C287F">
        <w:rPr>
          <w:i/>
          <w:color w:val="000000"/>
        </w:rPr>
        <w:t>Stock Purchase Warrants</w:t>
      </w:r>
      <w:r>
        <w:rPr>
          <w:i/>
          <w:color w:val="000000"/>
        </w:rPr>
        <w:t xml:space="preserve"> –</w:t>
      </w:r>
      <w:r w:rsidR="008A6593">
        <w:rPr>
          <w:color w:val="000000"/>
        </w:rPr>
        <w:t xml:space="preserve"> </w:t>
      </w:r>
      <w:r w:rsidRPr="00541CEB">
        <w:rPr>
          <w:color w:val="000000"/>
        </w:rPr>
        <w:t xml:space="preserve">The table below presents summary information about our warrants outstanding as of </w:t>
      </w:r>
      <w:r w:rsidR="0041620A">
        <w:rPr>
          <w:color w:val="000000"/>
        </w:rPr>
        <w:t>September</w:t>
      </w:r>
      <w:r w:rsidRPr="00541CEB">
        <w:rPr>
          <w:color w:val="000000"/>
        </w:rPr>
        <w:t xml:space="preserve"> 3</w:t>
      </w:r>
      <w:r>
        <w:rPr>
          <w:color w:val="000000"/>
        </w:rPr>
        <w:t>0</w:t>
      </w:r>
      <w:r w:rsidRPr="00541CEB">
        <w:rPr>
          <w:color w:val="000000"/>
        </w:rPr>
        <w:t>, 202</w:t>
      </w:r>
      <w:r>
        <w:rPr>
          <w:color w:val="000000"/>
        </w:rPr>
        <w:t>2</w:t>
      </w:r>
      <w:r w:rsidRPr="00541CEB">
        <w:rPr>
          <w:color w:val="000000"/>
        </w:rPr>
        <w: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541CEB" w:rsidRPr="00541CEB" w14:paraId="3C700999" w14:textId="77777777" w:rsidTr="00E721DB">
        <w:tc>
          <w:tcPr>
            <w:tcW w:w="5850" w:type="dxa"/>
            <w:tcBorders>
              <w:bottom w:val="single" w:sz="4" w:space="0" w:color="auto"/>
            </w:tcBorders>
          </w:tcPr>
          <w:p w14:paraId="2361A431" w14:textId="77777777" w:rsidR="00541CEB" w:rsidRPr="00541CEB" w:rsidRDefault="00541CEB" w:rsidP="00541CEB">
            <w:pPr>
              <w:rPr>
                <w:color w:val="000000"/>
              </w:rPr>
            </w:pPr>
          </w:p>
          <w:p w14:paraId="73E49EE6" w14:textId="77777777" w:rsidR="00541CEB" w:rsidRPr="00541CEB" w:rsidRDefault="00541CEB" w:rsidP="00541CEB">
            <w:pPr>
              <w:rPr>
                <w:color w:val="000000"/>
              </w:rPr>
            </w:pPr>
            <w:r w:rsidRPr="00541CEB">
              <w:rPr>
                <w:color w:val="000000"/>
              </w:rPr>
              <w:t>Warrant Description</w:t>
            </w:r>
          </w:p>
        </w:tc>
        <w:tc>
          <w:tcPr>
            <w:tcW w:w="1260" w:type="dxa"/>
            <w:tcBorders>
              <w:bottom w:val="single" w:sz="4" w:space="0" w:color="auto"/>
            </w:tcBorders>
          </w:tcPr>
          <w:p w14:paraId="24B0D91D" w14:textId="77777777" w:rsidR="00541CEB" w:rsidRPr="00541CEB" w:rsidRDefault="00541CEB" w:rsidP="00541CEB">
            <w:pPr>
              <w:jc w:val="center"/>
              <w:rPr>
                <w:color w:val="000000"/>
              </w:rPr>
            </w:pPr>
            <w:r w:rsidRPr="00541CEB">
              <w:rPr>
                <w:color w:val="000000"/>
              </w:rPr>
              <w:t>Number</w:t>
            </w:r>
          </w:p>
          <w:p w14:paraId="2F85F53E" w14:textId="77777777" w:rsidR="00541CEB" w:rsidRPr="00541CEB" w:rsidRDefault="00541CEB" w:rsidP="00541CEB">
            <w:pPr>
              <w:jc w:val="center"/>
              <w:rPr>
                <w:color w:val="000000"/>
              </w:rPr>
            </w:pPr>
            <w:r w:rsidRPr="00541CEB">
              <w:rPr>
                <w:color w:val="000000"/>
              </w:rPr>
              <w:t>of Shares</w:t>
            </w:r>
          </w:p>
        </w:tc>
        <w:tc>
          <w:tcPr>
            <w:tcW w:w="1191" w:type="dxa"/>
            <w:tcBorders>
              <w:bottom w:val="single" w:sz="4" w:space="0" w:color="auto"/>
            </w:tcBorders>
          </w:tcPr>
          <w:p w14:paraId="411E1ED8" w14:textId="77777777" w:rsidR="00541CEB" w:rsidRPr="00541CEB" w:rsidRDefault="00541CEB" w:rsidP="00541CEB">
            <w:pPr>
              <w:jc w:val="center"/>
              <w:rPr>
                <w:color w:val="000000"/>
              </w:rPr>
            </w:pPr>
            <w:r w:rsidRPr="00541CEB">
              <w:rPr>
                <w:color w:val="000000"/>
              </w:rPr>
              <w:t>Exercise</w:t>
            </w:r>
          </w:p>
          <w:p w14:paraId="3B921DB5" w14:textId="77777777" w:rsidR="00541CEB" w:rsidRPr="00541CEB" w:rsidRDefault="00541CEB" w:rsidP="00541CEB">
            <w:pPr>
              <w:jc w:val="center"/>
              <w:rPr>
                <w:color w:val="000000"/>
              </w:rPr>
            </w:pPr>
            <w:r w:rsidRPr="00541CEB">
              <w:rPr>
                <w:color w:val="000000"/>
              </w:rPr>
              <w:t>Price</w:t>
            </w:r>
          </w:p>
        </w:tc>
        <w:tc>
          <w:tcPr>
            <w:tcW w:w="1625" w:type="dxa"/>
            <w:tcBorders>
              <w:bottom w:val="single" w:sz="4" w:space="0" w:color="auto"/>
            </w:tcBorders>
          </w:tcPr>
          <w:p w14:paraId="6F8A8F67" w14:textId="77777777" w:rsidR="00541CEB" w:rsidRPr="00541CEB" w:rsidRDefault="00541CEB" w:rsidP="00541CEB">
            <w:pPr>
              <w:jc w:val="center"/>
              <w:rPr>
                <w:color w:val="000000"/>
              </w:rPr>
            </w:pPr>
          </w:p>
          <w:p w14:paraId="31AC5CC7" w14:textId="77777777" w:rsidR="00541CEB" w:rsidRPr="00541CEB" w:rsidRDefault="00541CEB" w:rsidP="00541CEB">
            <w:pPr>
              <w:jc w:val="center"/>
              <w:rPr>
                <w:color w:val="000000"/>
              </w:rPr>
            </w:pPr>
            <w:r w:rsidRPr="00541CEB">
              <w:rPr>
                <w:color w:val="000000"/>
              </w:rPr>
              <w:t>Expiration</w:t>
            </w:r>
          </w:p>
        </w:tc>
      </w:tr>
      <w:tr w:rsidR="00541CEB" w:rsidRPr="00541CEB" w14:paraId="4E7890A2" w14:textId="77777777" w:rsidTr="00E721DB">
        <w:tc>
          <w:tcPr>
            <w:tcW w:w="5850" w:type="dxa"/>
          </w:tcPr>
          <w:p w14:paraId="312CFB1D" w14:textId="77777777" w:rsidR="00541CEB" w:rsidRPr="00541CEB" w:rsidRDefault="00541CEB" w:rsidP="00541CEB">
            <w:pPr>
              <w:rPr>
                <w:color w:val="000000"/>
              </w:rPr>
            </w:pPr>
            <w:r w:rsidRPr="00541CEB">
              <w:rPr>
                <w:color w:val="000000"/>
              </w:rPr>
              <w:t>2020 Warrants</w:t>
            </w:r>
          </w:p>
        </w:tc>
        <w:tc>
          <w:tcPr>
            <w:tcW w:w="1260" w:type="dxa"/>
          </w:tcPr>
          <w:p w14:paraId="25AA5AC8" w14:textId="77777777" w:rsidR="00541CEB" w:rsidRPr="00541CEB" w:rsidRDefault="00541CEB" w:rsidP="00541CEB">
            <w:pPr>
              <w:tabs>
                <w:tab w:val="decimal" w:pos="877"/>
              </w:tabs>
              <w:rPr>
                <w:color w:val="000000"/>
              </w:rPr>
            </w:pPr>
            <w:r w:rsidRPr="00541CEB">
              <w:rPr>
                <w:color w:val="000000"/>
              </w:rPr>
              <w:t>120,000</w:t>
            </w:r>
          </w:p>
        </w:tc>
        <w:tc>
          <w:tcPr>
            <w:tcW w:w="1191" w:type="dxa"/>
          </w:tcPr>
          <w:p w14:paraId="13697CEE" w14:textId="466493B3" w:rsidR="00541CEB" w:rsidRPr="00541CEB" w:rsidRDefault="005570D6" w:rsidP="00541CEB">
            <w:pPr>
              <w:tabs>
                <w:tab w:val="decimal" w:pos="607"/>
              </w:tabs>
              <w:rPr>
                <w:color w:val="000000"/>
              </w:rPr>
            </w:pPr>
            <w:r>
              <w:rPr>
                <w:color w:val="000000"/>
              </w:rPr>
              <w:t xml:space="preserve">$  </w:t>
            </w:r>
            <w:r w:rsidR="00BC6B92">
              <w:rPr>
                <w:color w:val="000000"/>
              </w:rPr>
              <w:t>1.65</w:t>
            </w:r>
          </w:p>
        </w:tc>
        <w:tc>
          <w:tcPr>
            <w:tcW w:w="1625" w:type="dxa"/>
          </w:tcPr>
          <w:p w14:paraId="50EA7ADF" w14:textId="77777777" w:rsidR="00541CEB" w:rsidRPr="00541CEB" w:rsidRDefault="00541CEB" w:rsidP="00541CEB">
            <w:pPr>
              <w:jc w:val="center"/>
              <w:rPr>
                <w:color w:val="000000"/>
              </w:rPr>
            </w:pPr>
            <w:r w:rsidRPr="00541CEB">
              <w:rPr>
                <w:color w:val="000000"/>
              </w:rPr>
              <w:t>Jun 2025</w:t>
            </w:r>
          </w:p>
        </w:tc>
      </w:tr>
      <w:tr w:rsidR="00541CEB" w:rsidRPr="00541CEB" w14:paraId="7E3E1FE9" w14:textId="77777777" w:rsidTr="00E721DB">
        <w:tc>
          <w:tcPr>
            <w:tcW w:w="5850" w:type="dxa"/>
          </w:tcPr>
          <w:p w14:paraId="0251659B" w14:textId="77777777" w:rsidR="00541CEB" w:rsidRPr="00541CEB" w:rsidRDefault="00541CEB" w:rsidP="00541CEB">
            <w:pPr>
              <w:rPr>
                <w:color w:val="000000"/>
              </w:rPr>
            </w:pPr>
            <w:r w:rsidRPr="00541CEB">
              <w:rPr>
                <w:color w:val="000000"/>
              </w:rPr>
              <w:t>2020 Unit Warrants</w:t>
            </w:r>
          </w:p>
        </w:tc>
        <w:tc>
          <w:tcPr>
            <w:tcW w:w="1260" w:type="dxa"/>
          </w:tcPr>
          <w:p w14:paraId="07B39B1E" w14:textId="77777777" w:rsidR="00541CEB" w:rsidRPr="00541CEB" w:rsidRDefault="00541CEB" w:rsidP="00541CEB">
            <w:pPr>
              <w:tabs>
                <w:tab w:val="decimal" w:pos="877"/>
              </w:tabs>
              <w:rPr>
                <w:color w:val="000000"/>
              </w:rPr>
            </w:pPr>
            <w:r w:rsidRPr="00541CEB">
              <w:rPr>
                <w:color w:val="000000"/>
              </w:rPr>
              <w:t>2,396,631</w:t>
            </w:r>
          </w:p>
        </w:tc>
        <w:tc>
          <w:tcPr>
            <w:tcW w:w="1191" w:type="dxa"/>
          </w:tcPr>
          <w:p w14:paraId="10527D09" w14:textId="77777777" w:rsidR="00541CEB" w:rsidRPr="00541CEB" w:rsidRDefault="00541CEB" w:rsidP="00541CEB">
            <w:pPr>
              <w:tabs>
                <w:tab w:val="decimal" w:pos="607"/>
              </w:tabs>
              <w:rPr>
                <w:color w:val="000000"/>
              </w:rPr>
            </w:pPr>
            <w:r w:rsidRPr="00541CEB">
              <w:rPr>
                <w:color w:val="000000"/>
              </w:rPr>
              <w:t>5.00</w:t>
            </w:r>
          </w:p>
        </w:tc>
        <w:tc>
          <w:tcPr>
            <w:tcW w:w="1625" w:type="dxa"/>
          </w:tcPr>
          <w:p w14:paraId="4793700B" w14:textId="77777777" w:rsidR="00541CEB" w:rsidRPr="00541CEB" w:rsidRDefault="00541CEB" w:rsidP="00541CEB">
            <w:pPr>
              <w:jc w:val="center"/>
              <w:rPr>
                <w:color w:val="000000"/>
              </w:rPr>
            </w:pPr>
            <w:r w:rsidRPr="00541CEB">
              <w:rPr>
                <w:color w:val="000000"/>
              </w:rPr>
              <w:t>Sep 2025</w:t>
            </w:r>
          </w:p>
        </w:tc>
      </w:tr>
      <w:tr w:rsidR="00541CEB" w:rsidRPr="00541CEB" w14:paraId="2BF14830" w14:textId="77777777" w:rsidTr="00E721DB">
        <w:tc>
          <w:tcPr>
            <w:tcW w:w="5850" w:type="dxa"/>
          </w:tcPr>
          <w:p w14:paraId="305B21EF" w14:textId="77777777" w:rsidR="00541CEB" w:rsidRPr="00541CEB" w:rsidRDefault="00541CEB" w:rsidP="00541CEB">
            <w:pPr>
              <w:rPr>
                <w:color w:val="000000"/>
              </w:rPr>
            </w:pPr>
            <w:r w:rsidRPr="00541CEB">
              <w:rPr>
                <w:color w:val="000000"/>
              </w:rPr>
              <w:t>2020 Representative Warrants</w:t>
            </w:r>
          </w:p>
        </w:tc>
        <w:tc>
          <w:tcPr>
            <w:tcW w:w="1260" w:type="dxa"/>
          </w:tcPr>
          <w:p w14:paraId="3331A411" w14:textId="77777777" w:rsidR="00541CEB" w:rsidRPr="00541CEB" w:rsidRDefault="00541CEB" w:rsidP="00541CEB">
            <w:pPr>
              <w:tabs>
                <w:tab w:val="decimal" w:pos="877"/>
              </w:tabs>
              <w:rPr>
                <w:color w:val="000000"/>
              </w:rPr>
            </w:pPr>
            <w:r w:rsidRPr="00541CEB">
              <w:rPr>
                <w:color w:val="000000"/>
              </w:rPr>
              <w:t>128,000</w:t>
            </w:r>
          </w:p>
        </w:tc>
        <w:tc>
          <w:tcPr>
            <w:tcW w:w="1191" w:type="dxa"/>
          </w:tcPr>
          <w:p w14:paraId="126FFCA4" w14:textId="77777777" w:rsidR="00541CEB" w:rsidRPr="00541CEB" w:rsidRDefault="00541CEB" w:rsidP="00541CEB">
            <w:pPr>
              <w:tabs>
                <w:tab w:val="decimal" w:pos="607"/>
              </w:tabs>
              <w:rPr>
                <w:color w:val="000000"/>
              </w:rPr>
            </w:pPr>
            <w:r w:rsidRPr="00541CEB">
              <w:rPr>
                <w:color w:val="000000"/>
              </w:rPr>
              <w:t>5.50</w:t>
            </w:r>
          </w:p>
        </w:tc>
        <w:tc>
          <w:tcPr>
            <w:tcW w:w="1625" w:type="dxa"/>
          </w:tcPr>
          <w:p w14:paraId="6D3BD899" w14:textId="77777777" w:rsidR="00541CEB" w:rsidRPr="00541CEB" w:rsidRDefault="00541CEB" w:rsidP="00541CEB">
            <w:pPr>
              <w:jc w:val="center"/>
              <w:rPr>
                <w:color w:val="000000"/>
              </w:rPr>
            </w:pPr>
            <w:r w:rsidRPr="00541CEB">
              <w:rPr>
                <w:color w:val="000000"/>
              </w:rPr>
              <w:t>Mar 2024</w:t>
            </w:r>
          </w:p>
        </w:tc>
      </w:tr>
      <w:tr w:rsidR="00541CEB" w:rsidRPr="00541CEB" w14:paraId="546B900B" w14:textId="77777777" w:rsidTr="00E721DB">
        <w:tc>
          <w:tcPr>
            <w:tcW w:w="5850" w:type="dxa"/>
          </w:tcPr>
          <w:p w14:paraId="626B34C6" w14:textId="77777777" w:rsidR="00541CEB" w:rsidRPr="00541CEB" w:rsidRDefault="00541CEB" w:rsidP="00541CEB">
            <w:pPr>
              <w:rPr>
                <w:color w:val="000000"/>
              </w:rPr>
            </w:pPr>
            <w:r w:rsidRPr="00541CEB">
              <w:rPr>
                <w:color w:val="000000"/>
              </w:rPr>
              <w:t>2021 Representative Warrants</w:t>
            </w:r>
          </w:p>
        </w:tc>
        <w:tc>
          <w:tcPr>
            <w:tcW w:w="1260" w:type="dxa"/>
          </w:tcPr>
          <w:p w14:paraId="45D479E1" w14:textId="77777777" w:rsidR="00541CEB" w:rsidRPr="00541CEB" w:rsidRDefault="00541CEB" w:rsidP="00541CEB">
            <w:pPr>
              <w:tabs>
                <w:tab w:val="decimal" w:pos="877"/>
              </w:tabs>
              <w:rPr>
                <w:color w:val="000000"/>
              </w:rPr>
            </w:pPr>
            <w:r w:rsidRPr="00541CEB">
              <w:rPr>
                <w:color w:val="000000"/>
              </w:rPr>
              <w:t>72,000</w:t>
            </w:r>
          </w:p>
        </w:tc>
        <w:tc>
          <w:tcPr>
            <w:tcW w:w="1191" w:type="dxa"/>
          </w:tcPr>
          <w:p w14:paraId="03548070" w14:textId="77777777" w:rsidR="00541CEB" w:rsidRPr="00541CEB" w:rsidRDefault="00541CEB" w:rsidP="00541CEB">
            <w:pPr>
              <w:tabs>
                <w:tab w:val="decimal" w:pos="607"/>
              </w:tabs>
              <w:rPr>
                <w:color w:val="000000"/>
              </w:rPr>
            </w:pPr>
            <w:r w:rsidRPr="00541CEB">
              <w:rPr>
                <w:color w:val="000000"/>
              </w:rPr>
              <w:t>6.875</w:t>
            </w:r>
          </w:p>
        </w:tc>
        <w:tc>
          <w:tcPr>
            <w:tcW w:w="1625" w:type="dxa"/>
          </w:tcPr>
          <w:p w14:paraId="5BCFF80A" w14:textId="77777777" w:rsidR="00541CEB" w:rsidRPr="00541CEB" w:rsidRDefault="00541CEB" w:rsidP="00541CEB">
            <w:pPr>
              <w:jc w:val="center"/>
              <w:rPr>
                <w:color w:val="000000"/>
              </w:rPr>
            </w:pPr>
            <w:r w:rsidRPr="00541CEB">
              <w:rPr>
                <w:color w:val="000000"/>
              </w:rPr>
              <w:t>Aug 2024</w:t>
            </w:r>
          </w:p>
        </w:tc>
      </w:tr>
      <w:tr w:rsidR="00541CEB" w:rsidRPr="00541CEB" w14:paraId="1B43C623" w14:textId="77777777" w:rsidTr="009D5A44">
        <w:tc>
          <w:tcPr>
            <w:tcW w:w="5850" w:type="dxa"/>
          </w:tcPr>
          <w:p w14:paraId="3D81E2DE" w14:textId="77777777" w:rsidR="00541CEB" w:rsidRPr="00541CEB" w:rsidRDefault="00541CEB" w:rsidP="00541CEB">
            <w:pPr>
              <w:rPr>
                <w:color w:val="000000"/>
              </w:rPr>
            </w:pPr>
            <w:r w:rsidRPr="00541CEB">
              <w:rPr>
                <w:color w:val="000000"/>
              </w:rPr>
              <w:t>2021 Warrants</w:t>
            </w:r>
          </w:p>
        </w:tc>
        <w:tc>
          <w:tcPr>
            <w:tcW w:w="1260" w:type="dxa"/>
          </w:tcPr>
          <w:p w14:paraId="3AE93591" w14:textId="77777777" w:rsidR="00541CEB" w:rsidRPr="00541CEB" w:rsidRDefault="00541CEB" w:rsidP="00541CEB">
            <w:pPr>
              <w:tabs>
                <w:tab w:val="decimal" w:pos="877"/>
              </w:tabs>
              <w:rPr>
                <w:color w:val="000000"/>
              </w:rPr>
            </w:pPr>
            <w:r w:rsidRPr="00541CEB">
              <w:rPr>
                <w:color w:val="000000"/>
              </w:rPr>
              <w:t>100,000</w:t>
            </w:r>
          </w:p>
        </w:tc>
        <w:tc>
          <w:tcPr>
            <w:tcW w:w="1191" w:type="dxa"/>
          </w:tcPr>
          <w:p w14:paraId="1FB8CA21" w14:textId="77777777" w:rsidR="00541CEB" w:rsidRPr="00541CEB" w:rsidRDefault="00541CEB" w:rsidP="00541CEB">
            <w:pPr>
              <w:tabs>
                <w:tab w:val="decimal" w:pos="607"/>
              </w:tabs>
              <w:rPr>
                <w:color w:val="000000"/>
              </w:rPr>
            </w:pPr>
            <w:r w:rsidRPr="00541CEB">
              <w:rPr>
                <w:color w:val="000000"/>
              </w:rPr>
              <w:t>13.00</w:t>
            </w:r>
          </w:p>
        </w:tc>
        <w:tc>
          <w:tcPr>
            <w:tcW w:w="1625" w:type="dxa"/>
          </w:tcPr>
          <w:p w14:paraId="0F2F0E49" w14:textId="77777777" w:rsidR="00541CEB" w:rsidRPr="00541CEB" w:rsidRDefault="00541CEB" w:rsidP="00541CEB">
            <w:pPr>
              <w:jc w:val="center"/>
              <w:rPr>
                <w:color w:val="000000"/>
              </w:rPr>
            </w:pPr>
            <w:r w:rsidRPr="00541CEB">
              <w:rPr>
                <w:color w:val="000000"/>
              </w:rPr>
              <w:t>Sep 2026</w:t>
            </w:r>
          </w:p>
        </w:tc>
      </w:tr>
      <w:tr w:rsidR="009D5A44" w:rsidRPr="00541CEB" w14:paraId="38B7E9DE" w14:textId="77777777" w:rsidTr="009D5A44">
        <w:tc>
          <w:tcPr>
            <w:tcW w:w="5850" w:type="dxa"/>
          </w:tcPr>
          <w:p w14:paraId="03C29DD8" w14:textId="35150A4D" w:rsidR="009D5A44" w:rsidRPr="00541CEB" w:rsidRDefault="009D5A44" w:rsidP="00541CEB">
            <w:pPr>
              <w:rPr>
                <w:color w:val="000000"/>
              </w:rPr>
            </w:pPr>
            <w:r>
              <w:rPr>
                <w:color w:val="000000"/>
              </w:rPr>
              <w:t>Jan</w:t>
            </w:r>
            <w:r w:rsidR="000A6F1B">
              <w:rPr>
                <w:color w:val="000000"/>
              </w:rPr>
              <w:t xml:space="preserve"> 2022</w:t>
            </w:r>
            <w:r>
              <w:rPr>
                <w:color w:val="000000"/>
              </w:rPr>
              <w:t xml:space="preserve"> Common Warrants</w:t>
            </w:r>
          </w:p>
        </w:tc>
        <w:tc>
          <w:tcPr>
            <w:tcW w:w="1260" w:type="dxa"/>
          </w:tcPr>
          <w:p w14:paraId="5C2E298E" w14:textId="5FDA598D" w:rsidR="009D5A44" w:rsidRPr="00541CEB" w:rsidRDefault="009D5A44" w:rsidP="00541CEB">
            <w:pPr>
              <w:tabs>
                <w:tab w:val="decimal" w:pos="877"/>
              </w:tabs>
              <w:rPr>
                <w:color w:val="000000"/>
              </w:rPr>
            </w:pPr>
            <w:r>
              <w:rPr>
                <w:color w:val="000000"/>
              </w:rPr>
              <w:t>3,067,484</w:t>
            </w:r>
          </w:p>
        </w:tc>
        <w:tc>
          <w:tcPr>
            <w:tcW w:w="1191" w:type="dxa"/>
          </w:tcPr>
          <w:p w14:paraId="71FD0E5D" w14:textId="3A1B3A1B" w:rsidR="009D5A44" w:rsidRPr="00541CEB" w:rsidRDefault="009D5A44" w:rsidP="00541CEB">
            <w:pPr>
              <w:tabs>
                <w:tab w:val="decimal" w:pos="607"/>
              </w:tabs>
              <w:rPr>
                <w:color w:val="000000"/>
              </w:rPr>
            </w:pPr>
            <w:r>
              <w:rPr>
                <w:color w:val="000000"/>
              </w:rPr>
              <w:t>3.26</w:t>
            </w:r>
          </w:p>
        </w:tc>
        <w:tc>
          <w:tcPr>
            <w:tcW w:w="1625" w:type="dxa"/>
          </w:tcPr>
          <w:p w14:paraId="141D0790" w14:textId="7B5F293D" w:rsidR="009D5A44" w:rsidRPr="00541CEB" w:rsidRDefault="009D5A44" w:rsidP="00541CEB">
            <w:pPr>
              <w:jc w:val="center"/>
              <w:rPr>
                <w:color w:val="000000"/>
              </w:rPr>
            </w:pPr>
            <w:r>
              <w:rPr>
                <w:color w:val="000000"/>
              </w:rPr>
              <w:t>Feb 2027</w:t>
            </w:r>
          </w:p>
        </w:tc>
      </w:tr>
      <w:tr w:rsidR="009D5A44" w:rsidRPr="00541CEB" w14:paraId="09B36695" w14:textId="77777777" w:rsidTr="009D5A44">
        <w:tc>
          <w:tcPr>
            <w:tcW w:w="5850" w:type="dxa"/>
          </w:tcPr>
          <w:p w14:paraId="472332B1" w14:textId="0E83B4EA" w:rsidR="009D5A44" w:rsidRDefault="009D5A44" w:rsidP="00541CEB">
            <w:pPr>
              <w:rPr>
                <w:color w:val="000000"/>
              </w:rPr>
            </w:pPr>
            <w:r>
              <w:rPr>
                <w:color w:val="000000"/>
              </w:rPr>
              <w:t xml:space="preserve">May </w:t>
            </w:r>
            <w:r w:rsidR="000A6F1B">
              <w:rPr>
                <w:color w:val="000000"/>
              </w:rPr>
              <w:t xml:space="preserve">2022 </w:t>
            </w:r>
            <w:r>
              <w:rPr>
                <w:color w:val="000000"/>
              </w:rPr>
              <w:t>Preferred Investment Option</w:t>
            </w:r>
            <w:r w:rsidR="008A6593">
              <w:rPr>
                <w:color w:val="000000"/>
              </w:rPr>
              <w:t>s</w:t>
            </w:r>
          </w:p>
        </w:tc>
        <w:tc>
          <w:tcPr>
            <w:tcW w:w="1260" w:type="dxa"/>
          </w:tcPr>
          <w:p w14:paraId="2C5C8160" w14:textId="0883235D" w:rsidR="009D5A44" w:rsidRDefault="0041620A" w:rsidP="00541CEB">
            <w:pPr>
              <w:tabs>
                <w:tab w:val="decimal" w:pos="877"/>
              </w:tabs>
              <w:rPr>
                <w:color w:val="000000"/>
              </w:rPr>
            </w:pPr>
            <w:r>
              <w:rPr>
                <w:color w:val="000000"/>
              </w:rPr>
              <w:t>7,500,000</w:t>
            </w:r>
          </w:p>
        </w:tc>
        <w:tc>
          <w:tcPr>
            <w:tcW w:w="1191" w:type="dxa"/>
          </w:tcPr>
          <w:p w14:paraId="73DC07E1" w14:textId="38BC34BE" w:rsidR="009D5A44" w:rsidRDefault="009D5A44" w:rsidP="00541CEB">
            <w:pPr>
              <w:tabs>
                <w:tab w:val="decimal" w:pos="607"/>
              </w:tabs>
              <w:rPr>
                <w:color w:val="000000"/>
              </w:rPr>
            </w:pPr>
            <w:r>
              <w:rPr>
                <w:color w:val="000000"/>
              </w:rPr>
              <w:t>1.65</w:t>
            </w:r>
          </w:p>
        </w:tc>
        <w:tc>
          <w:tcPr>
            <w:tcW w:w="1625" w:type="dxa"/>
          </w:tcPr>
          <w:p w14:paraId="5B2731EE" w14:textId="71E72E37" w:rsidR="009D5A44" w:rsidRDefault="009D5A44" w:rsidP="00541CEB">
            <w:pPr>
              <w:jc w:val="center"/>
              <w:rPr>
                <w:color w:val="000000"/>
              </w:rPr>
            </w:pPr>
            <w:r>
              <w:rPr>
                <w:color w:val="000000"/>
              </w:rPr>
              <w:t>May 202</w:t>
            </w:r>
            <w:r w:rsidR="00937753">
              <w:rPr>
                <w:color w:val="000000"/>
              </w:rPr>
              <w:t>8</w:t>
            </w:r>
          </w:p>
        </w:tc>
      </w:tr>
      <w:tr w:rsidR="00541CEB" w:rsidRPr="00541CEB" w14:paraId="52AEC0EC" w14:textId="77777777" w:rsidTr="00E721DB">
        <w:tc>
          <w:tcPr>
            <w:tcW w:w="5850" w:type="dxa"/>
          </w:tcPr>
          <w:p w14:paraId="1214E85C" w14:textId="7550B668" w:rsidR="00541CEB" w:rsidRPr="00541CEB" w:rsidRDefault="00541CEB" w:rsidP="00541CEB">
            <w:pPr>
              <w:rPr>
                <w:color w:val="000000"/>
              </w:rPr>
            </w:pPr>
            <w:r w:rsidRPr="00541CEB">
              <w:rPr>
                <w:color w:val="000000"/>
              </w:rPr>
              <w:t xml:space="preserve">Total Warrants Outstanding at </w:t>
            </w:r>
            <w:r w:rsidR="0041620A">
              <w:rPr>
                <w:color w:val="000000"/>
              </w:rPr>
              <w:t>September</w:t>
            </w:r>
            <w:r w:rsidRPr="00541CEB">
              <w:rPr>
                <w:color w:val="000000"/>
              </w:rPr>
              <w:t xml:space="preserve"> 3</w:t>
            </w:r>
            <w:r>
              <w:rPr>
                <w:color w:val="000000"/>
              </w:rPr>
              <w:t>0</w:t>
            </w:r>
            <w:r w:rsidRPr="00541CEB">
              <w:rPr>
                <w:color w:val="000000"/>
              </w:rPr>
              <w:t>, 202</w:t>
            </w:r>
            <w:r>
              <w:rPr>
                <w:color w:val="000000"/>
              </w:rPr>
              <w:t>2</w:t>
            </w:r>
          </w:p>
        </w:tc>
        <w:tc>
          <w:tcPr>
            <w:tcW w:w="1260" w:type="dxa"/>
            <w:tcBorders>
              <w:top w:val="single" w:sz="4" w:space="0" w:color="auto"/>
              <w:bottom w:val="double" w:sz="4" w:space="0" w:color="auto"/>
            </w:tcBorders>
          </w:tcPr>
          <w:p w14:paraId="4722DB60" w14:textId="0DC99932" w:rsidR="00541CEB" w:rsidRPr="00541CEB" w:rsidRDefault="0041620A" w:rsidP="00541CEB">
            <w:pPr>
              <w:tabs>
                <w:tab w:val="decimal" w:pos="877"/>
              </w:tabs>
              <w:rPr>
                <w:color w:val="000000"/>
              </w:rPr>
            </w:pPr>
            <w:r>
              <w:rPr>
                <w:color w:val="000000"/>
              </w:rPr>
              <w:t>13,384,115</w:t>
            </w:r>
          </w:p>
        </w:tc>
        <w:tc>
          <w:tcPr>
            <w:tcW w:w="1191" w:type="dxa"/>
          </w:tcPr>
          <w:p w14:paraId="1F46D66E" w14:textId="77777777" w:rsidR="00541CEB" w:rsidRPr="00541CEB" w:rsidRDefault="00541CEB" w:rsidP="00541CEB">
            <w:pPr>
              <w:tabs>
                <w:tab w:val="decimal" w:pos="793"/>
              </w:tabs>
              <w:rPr>
                <w:color w:val="000000"/>
              </w:rPr>
            </w:pPr>
          </w:p>
        </w:tc>
        <w:tc>
          <w:tcPr>
            <w:tcW w:w="1625" w:type="dxa"/>
          </w:tcPr>
          <w:p w14:paraId="7B9D0AA8" w14:textId="77777777" w:rsidR="00541CEB" w:rsidRPr="00541CEB" w:rsidRDefault="00541CEB" w:rsidP="00541CEB">
            <w:pPr>
              <w:rPr>
                <w:color w:val="000000"/>
              </w:rPr>
            </w:pPr>
          </w:p>
        </w:tc>
      </w:tr>
    </w:tbl>
    <w:p w14:paraId="3C546358" w14:textId="77777777" w:rsidR="00541CEB" w:rsidRDefault="00541CEB" w:rsidP="000A55AE">
      <w:pPr>
        <w:rPr>
          <w:color w:val="000000"/>
        </w:rPr>
      </w:pPr>
    </w:p>
    <w:p w14:paraId="78E20A9F" w14:textId="007D6317" w:rsidR="005B58B3" w:rsidRPr="00F53171" w:rsidRDefault="005918D5" w:rsidP="005B58B3">
      <w:pPr>
        <w:pStyle w:val="BodyTitle"/>
        <w:spacing w:after="0"/>
        <w:rPr>
          <w:rFonts w:eastAsia="Times New Roman"/>
          <w:b/>
          <w:bCs/>
          <w:iCs/>
          <w:color w:val="000000"/>
          <w:u w:val="none"/>
        </w:rPr>
      </w:pPr>
      <w:r>
        <w:rPr>
          <w:rFonts w:eastAsia="Times New Roman"/>
          <w:b/>
          <w:bCs/>
          <w:iCs/>
          <w:color w:val="000000"/>
          <w:u w:val="none"/>
        </w:rPr>
        <w:t>6</w:t>
      </w:r>
      <w:r w:rsidR="00F53171">
        <w:rPr>
          <w:rFonts w:eastAsia="Times New Roman"/>
          <w:b/>
          <w:bCs/>
          <w:iCs/>
          <w:color w:val="000000"/>
          <w:u w:val="none"/>
        </w:rPr>
        <w:t>.</w:t>
      </w:r>
      <w:r w:rsidR="00F53171">
        <w:rPr>
          <w:rFonts w:eastAsia="Times New Roman"/>
          <w:b/>
          <w:bCs/>
          <w:iCs/>
          <w:color w:val="000000"/>
          <w:u w:val="none"/>
        </w:rPr>
        <w:tab/>
      </w:r>
      <w:r w:rsidR="005B58B3" w:rsidRPr="00F53171">
        <w:rPr>
          <w:rFonts w:eastAsia="Times New Roman"/>
          <w:b/>
          <w:bCs/>
          <w:iCs/>
          <w:color w:val="000000"/>
          <w:u w:val="none"/>
        </w:rPr>
        <w:t>Stock-Based Compensation Expense</w:t>
      </w:r>
    </w:p>
    <w:p w14:paraId="12BE80FB" w14:textId="3BBB7EEE" w:rsidR="005B58B3" w:rsidRDefault="005B58B3" w:rsidP="005B58B3"/>
    <w:p w14:paraId="17ED6B5D" w14:textId="2307C1AB" w:rsidR="00593DF1" w:rsidRDefault="00593DF1" w:rsidP="00593DF1">
      <w:pPr>
        <w:rPr>
          <w:color w:val="000000"/>
        </w:rPr>
      </w:pPr>
      <w:r>
        <w:rPr>
          <w:color w:val="000000"/>
        </w:rPr>
        <w:t xml:space="preserve">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w:t>
      </w:r>
      <w:r w:rsidR="0041620A">
        <w:rPr>
          <w:color w:val="000000"/>
        </w:rPr>
        <w:t>September</w:t>
      </w:r>
      <w:r>
        <w:rPr>
          <w:color w:val="000000"/>
        </w:rPr>
        <w:t> 30, 2022, there is $</w:t>
      </w:r>
      <w:r w:rsidR="0041620A">
        <w:rPr>
          <w:color w:val="000000"/>
        </w:rPr>
        <w:t>849,571</w:t>
      </w:r>
      <w:r>
        <w:rPr>
          <w:color w:val="000000"/>
        </w:rPr>
        <w:t xml:space="preserve"> of</w:t>
      </w:r>
      <w:r w:rsidRPr="00214555">
        <w:rPr>
          <w:color w:val="000000"/>
        </w:rPr>
        <w:t xml:space="preserve"> unrecognized compensation expense </w:t>
      </w:r>
      <w:r>
        <w:rPr>
          <w:color w:val="000000"/>
        </w:rPr>
        <w:t>that we expect to recognize over a weighted-average period of 1</w:t>
      </w:r>
      <w:r w:rsidR="0041620A">
        <w:rPr>
          <w:color w:val="000000"/>
        </w:rPr>
        <w:t>.7</w:t>
      </w:r>
      <w:r>
        <w:rPr>
          <w:color w:val="000000"/>
        </w:rPr>
        <w:t xml:space="preserve"> years</w:t>
      </w:r>
      <w:r w:rsidRPr="00214555">
        <w:rPr>
          <w:color w:val="000000"/>
        </w:rPr>
        <w:t>.</w:t>
      </w:r>
    </w:p>
    <w:p w14:paraId="1E30577F" w14:textId="0A3C9E70" w:rsidR="00AC158C" w:rsidRDefault="00AC158C" w:rsidP="005B58B3"/>
    <w:p w14:paraId="72ABC3E4" w14:textId="36F1B724" w:rsidR="004B3FF6" w:rsidRDefault="00593DF1" w:rsidP="004B3FF6">
      <w:r>
        <w:t xml:space="preserve">We also have issued </w:t>
      </w:r>
      <w:r w:rsidRPr="003E6788">
        <w:t xml:space="preserve">shares of </w:t>
      </w:r>
      <w:r>
        <w:t>restricted</w:t>
      </w:r>
      <w:r w:rsidRPr="003E6788">
        <w:t xml:space="preserve"> common stock </w:t>
      </w:r>
      <w:r>
        <w:t>to consultant</w:t>
      </w:r>
      <w:r w:rsidR="0044760B">
        <w:t>s</w:t>
      </w:r>
      <w:r>
        <w:t xml:space="preserve"> and recogniz</w:t>
      </w:r>
      <w:r w:rsidR="0044760B">
        <w:t>e</w:t>
      </w:r>
      <w:r>
        <w:t xml:space="preserve"> the related expense over the term</w:t>
      </w:r>
      <w:r w:rsidR="00CC7A74">
        <w:t>s</w:t>
      </w:r>
      <w:r>
        <w:t xml:space="preserve"> of the related agreements.</w:t>
      </w:r>
      <w:r w:rsidRPr="00593DF1">
        <w:t xml:space="preserve"> </w:t>
      </w:r>
      <w:r w:rsidRPr="008C0ABC">
        <w:t xml:space="preserve">As of </w:t>
      </w:r>
      <w:r w:rsidR="004B3FF6">
        <w:t>September</w:t>
      </w:r>
      <w:r w:rsidRPr="008C0ABC">
        <w:t xml:space="preserve"> 3</w:t>
      </w:r>
      <w:r>
        <w:t>0</w:t>
      </w:r>
      <w:r w:rsidRPr="008C0ABC">
        <w:t>, 202</w:t>
      </w:r>
      <w:r>
        <w:t>2</w:t>
      </w:r>
      <w:r w:rsidRPr="008C0ABC">
        <w:t>, there is $</w:t>
      </w:r>
      <w:r w:rsidR="004B3FF6">
        <w:t>72,375</w:t>
      </w:r>
      <w:r>
        <w:t xml:space="preserve"> </w:t>
      </w:r>
      <w:r w:rsidRPr="008C0ABC">
        <w:t xml:space="preserve">recorded as </w:t>
      </w:r>
      <w:r w:rsidR="00EB7808">
        <w:t xml:space="preserve">a </w:t>
      </w:r>
      <w:r w:rsidRPr="008C0ABC">
        <w:t xml:space="preserve">prepaid expense for </w:t>
      </w:r>
      <w:r>
        <w:t>these</w:t>
      </w:r>
      <w:r w:rsidRPr="008C0ABC">
        <w:t xml:space="preserve"> arrangements, which will be recognized as expense over the term</w:t>
      </w:r>
      <w:r w:rsidR="004B3FF6">
        <w:t>s</w:t>
      </w:r>
      <w:r w:rsidRPr="008C0ABC">
        <w:t xml:space="preserve"> of the related agreement</w:t>
      </w:r>
      <w:r w:rsidR="004B3FF6">
        <w:t>s.</w:t>
      </w:r>
    </w:p>
    <w:p w14:paraId="37E8F3BD" w14:textId="77777777" w:rsidR="004B3FF6" w:rsidRDefault="004B3FF6" w:rsidP="005B58B3"/>
    <w:p w14:paraId="3AC7DD59" w14:textId="05142957" w:rsidR="00593DF1" w:rsidRDefault="00593DF1" w:rsidP="005B58B3">
      <w:r>
        <w:t>The following table summarizes our total stock-based compensation expense</w:t>
      </w:r>
      <w:r w:rsidR="002C6627">
        <w:t xml:space="preserve"> for employees, directors and consultants</w:t>
      </w:r>
      <w:r>
        <w:t>:</w:t>
      </w:r>
    </w:p>
    <w:p w14:paraId="7C8493C8" w14:textId="77777777" w:rsidR="00593DF1" w:rsidRDefault="00593DF1" w:rsidP="005B58B3"/>
    <w:tbl>
      <w:tblPr>
        <w:tblStyle w:val="TableGrid1"/>
        <w:tblW w:w="9360" w:type="dxa"/>
        <w:tblLayout w:type="fixed"/>
        <w:tblLook w:val="04A0" w:firstRow="1" w:lastRow="0" w:firstColumn="1" w:lastColumn="0" w:noHBand="0" w:noVBand="1"/>
      </w:tblPr>
      <w:tblGrid>
        <w:gridCol w:w="3870"/>
        <w:gridCol w:w="1372"/>
        <w:gridCol w:w="1373"/>
        <w:gridCol w:w="1372"/>
        <w:gridCol w:w="1373"/>
      </w:tblGrid>
      <w:tr w:rsidR="007F1DD9" w:rsidRPr="00BF1181" w14:paraId="62987A07" w14:textId="77777777" w:rsidTr="00AC321D">
        <w:tc>
          <w:tcPr>
            <w:tcW w:w="3870" w:type="dxa"/>
            <w:tcBorders>
              <w:top w:val="nil"/>
              <w:left w:val="nil"/>
              <w:bottom w:val="nil"/>
              <w:right w:val="nil"/>
            </w:tcBorders>
          </w:tcPr>
          <w:p w14:paraId="0871AB7A" w14:textId="77777777" w:rsidR="007F1DD9" w:rsidRPr="00BF1181" w:rsidRDefault="007F1DD9" w:rsidP="00AC321D"/>
        </w:tc>
        <w:tc>
          <w:tcPr>
            <w:tcW w:w="2745" w:type="dxa"/>
            <w:gridSpan w:val="2"/>
            <w:tcBorders>
              <w:top w:val="nil"/>
              <w:left w:val="nil"/>
              <w:bottom w:val="single" w:sz="4" w:space="0" w:color="auto"/>
              <w:right w:val="nil"/>
            </w:tcBorders>
          </w:tcPr>
          <w:p w14:paraId="0BCC1A20" w14:textId="71707BDB" w:rsidR="007F1DD9" w:rsidRPr="00BF1181" w:rsidRDefault="007F1DD9" w:rsidP="00AC321D">
            <w:pPr>
              <w:tabs>
                <w:tab w:val="right" w:pos="926"/>
                <w:tab w:val="right" w:pos="989"/>
              </w:tabs>
              <w:jc w:val="center"/>
            </w:pPr>
            <w:r>
              <w:t xml:space="preserve">Three Months Ended </w:t>
            </w:r>
            <w:r w:rsidR="00D67D46">
              <w:t>Sep.</w:t>
            </w:r>
            <w:r>
              <w:t xml:space="preserve"> 30,</w:t>
            </w:r>
          </w:p>
        </w:tc>
        <w:tc>
          <w:tcPr>
            <w:tcW w:w="2745" w:type="dxa"/>
            <w:gridSpan w:val="2"/>
            <w:tcBorders>
              <w:top w:val="nil"/>
              <w:left w:val="nil"/>
              <w:bottom w:val="single" w:sz="4" w:space="0" w:color="auto"/>
              <w:right w:val="nil"/>
            </w:tcBorders>
          </w:tcPr>
          <w:p w14:paraId="3012F6F2" w14:textId="5C070519" w:rsidR="007F1DD9" w:rsidRPr="00BF1181" w:rsidRDefault="00D67D46" w:rsidP="00AC321D">
            <w:pPr>
              <w:tabs>
                <w:tab w:val="right" w:pos="989"/>
              </w:tabs>
              <w:jc w:val="center"/>
            </w:pPr>
            <w:r>
              <w:t>Nine</w:t>
            </w:r>
            <w:r w:rsidR="007F1DD9">
              <w:t xml:space="preserve"> Months Ended </w:t>
            </w:r>
            <w:r>
              <w:t>Sep.</w:t>
            </w:r>
            <w:r w:rsidR="007F1DD9">
              <w:t xml:space="preserve"> 30,</w:t>
            </w:r>
          </w:p>
        </w:tc>
      </w:tr>
      <w:tr w:rsidR="007F1DD9" w:rsidRPr="00BF1181" w14:paraId="39ABAA8B" w14:textId="77777777" w:rsidTr="00AC321D">
        <w:tc>
          <w:tcPr>
            <w:tcW w:w="3870" w:type="dxa"/>
            <w:tcBorders>
              <w:top w:val="nil"/>
              <w:left w:val="nil"/>
              <w:bottom w:val="nil"/>
              <w:right w:val="nil"/>
            </w:tcBorders>
          </w:tcPr>
          <w:p w14:paraId="0E8E4FC3" w14:textId="77777777" w:rsidR="007F1DD9" w:rsidRPr="00BF1181" w:rsidRDefault="007F1DD9" w:rsidP="00AC321D"/>
        </w:tc>
        <w:tc>
          <w:tcPr>
            <w:tcW w:w="1372" w:type="dxa"/>
            <w:tcBorders>
              <w:top w:val="single" w:sz="4" w:space="0" w:color="auto"/>
              <w:left w:val="nil"/>
              <w:bottom w:val="single" w:sz="4" w:space="0" w:color="auto"/>
              <w:right w:val="nil"/>
            </w:tcBorders>
          </w:tcPr>
          <w:p w14:paraId="0496B0ED" w14:textId="77777777" w:rsidR="007F1DD9" w:rsidRPr="00BF1181" w:rsidRDefault="007F1DD9" w:rsidP="00AC321D">
            <w:pPr>
              <w:tabs>
                <w:tab w:val="right" w:pos="969"/>
              </w:tabs>
              <w:jc w:val="center"/>
            </w:pPr>
            <w:r w:rsidRPr="00BF1181">
              <w:t>202</w:t>
            </w:r>
            <w:r>
              <w:t>2</w:t>
            </w:r>
          </w:p>
        </w:tc>
        <w:tc>
          <w:tcPr>
            <w:tcW w:w="1373" w:type="dxa"/>
            <w:tcBorders>
              <w:top w:val="single" w:sz="4" w:space="0" w:color="auto"/>
              <w:left w:val="nil"/>
              <w:bottom w:val="single" w:sz="4" w:space="0" w:color="auto"/>
              <w:right w:val="nil"/>
            </w:tcBorders>
          </w:tcPr>
          <w:p w14:paraId="240E39B5" w14:textId="77777777" w:rsidR="007F1DD9" w:rsidRPr="00BF1181" w:rsidRDefault="007F1DD9" w:rsidP="00AC321D">
            <w:pPr>
              <w:tabs>
                <w:tab w:val="right" w:pos="926"/>
                <w:tab w:val="right" w:pos="989"/>
              </w:tabs>
              <w:jc w:val="center"/>
            </w:pPr>
            <w:r w:rsidRPr="00BF1181">
              <w:t>202</w:t>
            </w:r>
            <w:r>
              <w:t>1</w:t>
            </w:r>
          </w:p>
        </w:tc>
        <w:tc>
          <w:tcPr>
            <w:tcW w:w="1372" w:type="dxa"/>
            <w:tcBorders>
              <w:top w:val="single" w:sz="4" w:space="0" w:color="auto"/>
              <w:left w:val="nil"/>
              <w:bottom w:val="single" w:sz="4" w:space="0" w:color="auto"/>
              <w:right w:val="nil"/>
            </w:tcBorders>
          </w:tcPr>
          <w:p w14:paraId="50C8A4C7" w14:textId="77777777" w:rsidR="007F1DD9" w:rsidRPr="00BF1181" w:rsidRDefault="007F1DD9" w:rsidP="00AC321D">
            <w:pPr>
              <w:tabs>
                <w:tab w:val="right" w:pos="989"/>
              </w:tabs>
              <w:jc w:val="center"/>
            </w:pPr>
            <w:r w:rsidRPr="00BF1181">
              <w:t>202</w:t>
            </w:r>
            <w:r>
              <w:t>2</w:t>
            </w:r>
          </w:p>
        </w:tc>
        <w:tc>
          <w:tcPr>
            <w:tcW w:w="1373" w:type="dxa"/>
            <w:tcBorders>
              <w:top w:val="single" w:sz="4" w:space="0" w:color="auto"/>
              <w:left w:val="nil"/>
              <w:bottom w:val="single" w:sz="4" w:space="0" w:color="auto"/>
              <w:right w:val="nil"/>
            </w:tcBorders>
          </w:tcPr>
          <w:p w14:paraId="3C663FD5" w14:textId="77777777" w:rsidR="007F1DD9" w:rsidRPr="00BF1181" w:rsidRDefault="007F1DD9" w:rsidP="00AC321D">
            <w:pPr>
              <w:tabs>
                <w:tab w:val="right" w:pos="989"/>
              </w:tabs>
              <w:jc w:val="center"/>
            </w:pPr>
            <w:r w:rsidRPr="00BF1181">
              <w:t>202</w:t>
            </w:r>
            <w:r>
              <w:t>1</w:t>
            </w:r>
          </w:p>
        </w:tc>
      </w:tr>
      <w:tr w:rsidR="00AB6F9C" w:rsidRPr="00BF1181" w14:paraId="79586E16" w14:textId="77777777" w:rsidTr="00AB6F9C">
        <w:tc>
          <w:tcPr>
            <w:tcW w:w="3870" w:type="dxa"/>
            <w:tcBorders>
              <w:top w:val="nil"/>
              <w:left w:val="nil"/>
              <w:bottom w:val="nil"/>
              <w:right w:val="nil"/>
            </w:tcBorders>
          </w:tcPr>
          <w:p w14:paraId="077558A5" w14:textId="1EBB040D" w:rsidR="00AB6F9C" w:rsidRPr="00BF1181" w:rsidRDefault="00AB6F9C" w:rsidP="00AC321D">
            <w:r>
              <w:t>Stock options:</w:t>
            </w:r>
          </w:p>
        </w:tc>
        <w:tc>
          <w:tcPr>
            <w:tcW w:w="1372" w:type="dxa"/>
            <w:tcBorders>
              <w:top w:val="single" w:sz="4" w:space="0" w:color="auto"/>
              <w:left w:val="nil"/>
              <w:bottom w:val="nil"/>
              <w:right w:val="nil"/>
            </w:tcBorders>
          </w:tcPr>
          <w:p w14:paraId="3BD677B3" w14:textId="77777777" w:rsidR="00AB6F9C" w:rsidRPr="00BF1181" w:rsidRDefault="00AB6F9C" w:rsidP="00AC321D">
            <w:pPr>
              <w:tabs>
                <w:tab w:val="right" w:pos="969"/>
              </w:tabs>
              <w:jc w:val="center"/>
            </w:pPr>
          </w:p>
        </w:tc>
        <w:tc>
          <w:tcPr>
            <w:tcW w:w="1373" w:type="dxa"/>
            <w:tcBorders>
              <w:top w:val="single" w:sz="4" w:space="0" w:color="auto"/>
              <w:left w:val="nil"/>
              <w:bottom w:val="nil"/>
              <w:right w:val="nil"/>
            </w:tcBorders>
          </w:tcPr>
          <w:p w14:paraId="2DBAEBFD" w14:textId="77777777" w:rsidR="00AB6F9C" w:rsidRPr="00BF1181" w:rsidRDefault="00AB6F9C" w:rsidP="00AC321D">
            <w:pPr>
              <w:tabs>
                <w:tab w:val="right" w:pos="926"/>
                <w:tab w:val="right" w:pos="989"/>
              </w:tabs>
              <w:jc w:val="center"/>
            </w:pPr>
          </w:p>
        </w:tc>
        <w:tc>
          <w:tcPr>
            <w:tcW w:w="1372" w:type="dxa"/>
            <w:tcBorders>
              <w:top w:val="single" w:sz="4" w:space="0" w:color="auto"/>
              <w:left w:val="nil"/>
              <w:bottom w:val="nil"/>
              <w:right w:val="nil"/>
            </w:tcBorders>
          </w:tcPr>
          <w:p w14:paraId="76FC1A34" w14:textId="77777777" w:rsidR="00AB6F9C" w:rsidRPr="00BF1181" w:rsidRDefault="00AB6F9C" w:rsidP="00AC321D">
            <w:pPr>
              <w:tabs>
                <w:tab w:val="right" w:pos="989"/>
              </w:tabs>
              <w:jc w:val="center"/>
            </w:pPr>
          </w:p>
        </w:tc>
        <w:tc>
          <w:tcPr>
            <w:tcW w:w="1373" w:type="dxa"/>
            <w:tcBorders>
              <w:top w:val="single" w:sz="4" w:space="0" w:color="auto"/>
              <w:left w:val="nil"/>
              <w:bottom w:val="nil"/>
              <w:right w:val="nil"/>
            </w:tcBorders>
          </w:tcPr>
          <w:p w14:paraId="4086402A" w14:textId="77777777" w:rsidR="00AB6F9C" w:rsidRPr="00BF1181" w:rsidRDefault="00AB6F9C" w:rsidP="00AC321D">
            <w:pPr>
              <w:tabs>
                <w:tab w:val="right" w:pos="989"/>
              </w:tabs>
              <w:jc w:val="center"/>
            </w:pPr>
          </w:p>
        </w:tc>
      </w:tr>
      <w:tr w:rsidR="007F1DD9" w:rsidRPr="00BF1181" w14:paraId="32DF3A94" w14:textId="77777777" w:rsidTr="00AB6F9C">
        <w:tc>
          <w:tcPr>
            <w:tcW w:w="3870" w:type="dxa"/>
            <w:tcBorders>
              <w:top w:val="nil"/>
              <w:left w:val="nil"/>
              <w:bottom w:val="nil"/>
              <w:right w:val="nil"/>
            </w:tcBorders>
          </w:tcPr>
          <w:p w14:paraId="09BA5A03" w14:textId="75CC11FE" w:rsidR="007F1DD9" w:rsidRPr="00BF1181" w:rsidRDefault="00AB6F9C" w:rsidP="00AC321D">
            <w:r>
              <w:t xml:space="preserve">   </w:t>
            </w:r>
            <w:r w:rsidR="007F1DD9">
              <w:t>Research and development</w:t>
            </w:r>
          </w:p>
        </w:tc>
        <w:tc>
          <w:tcPr>
            <w:tcW w:w="1372" w:type="dxa"/>
            <w:tcBorders>
              <w:top w:val="nil"/>
              <w:left w:val="nil"/>
              <w:bottom w:val="nil"/>
              <w:right w:val="nil"/>
            </w:tcBorders>
          </w:tcPr>
          <w:p w14:paraId="4D1BCB74" w14:textId="15C887DE" w:rsidR="007F1DD9" w:rsidRPr="00BF1181" w:rsidRDefault="007F1DD9" w:rsidP="00AC321D">
            <w:pPr>
              <w:tabs>
                <w:tab w:val="right" w:pos="969"/>
              </w:tabs>
            </w:pPr>
            <w:r w:rsidRPr="00BF1181">
              <w:t>$</w:t>
            </w:r>
            <w:r w:rsidRPr="00BF1181">
              <w:tab/>
            </w:r>
            <w:r w:rsidR="00AC158C">
              <w:t>54,293</w:t>
            </w:r>
          </w:p>
        </w:tc>
        <w:tc>
          <w:tcPr>
            <w:tcW w:w="1373" w:type="dxa"/>
            <w:tcBorders>
              <w:top w:val="nil"/>
              <w:left w:val="nil"/>
              <w:bottom w:val="nil"/>
              <w:right w:val="nil"/>
            </w:tcBorders>
          </w:tcPr>
          <w:p w14:paraId="3E58FAFB" w14:textId="448C985A" w:rsidR="007F1DD9" w:rsidRPr="00BF1181" w:rsidRDefault="007F1DD9" w:rsidP="00AC321D">
            <w:pPr>
              <w:tabs>
                <w:tab w:val="right" w:pos="926"/>
                <w:tab w:val="right" w:pos="989"/>
              </w:tabs>
            </w:pPr>
            <w:r w:rsidRPr="00BF1181">
              <w:t>$</w:t>
            </w:r>
            <w:r w:rsidRPr="00BF1181">
              <w:tab/>
            </w:r>
            <w:r w:rsidR="00AC158C">
              <w:t>21,468</w:t>
            </w:r>
          </w:p>
        </w:tc>
        <w:tc>
          <w:tcPr>
            <w:tcW w:w="1372" w:type="dxa"/>
            <w:tcBorders>
              <w:top w:val="nil"/>
              <w:left w:val="nil"/>
              <w:bottom w:val="nil"/>
              <w:right w:val="nil"/>
            </w:tcBorders>
          </w:tcPr>
          <w:p w14:paraId="76A140DA" w14:textId="5D19FCF4" w:rsidR="007F1DD9" w:rsidRPr="00BF1181" w:rsidRDefault="007F1DD9" w:rsidP="00AC321D">
            <w:pPr>
              <w:tabs>
                <w:tab w:val="right" w:pos="989"/>
              </w:tabs>
            </w:pPr>
            <w:r w:rsidRPr="00BF1181">
              <w:t>$</w:t>
            </w:r>
            <w:r w:rsidRPr="00BF1181">
              <w:tab/>
            </w:r>
            <w:r w:rsidR="00D67D46">
              <w:t>162,878</w:t>
            </w:r>
          </w:p>
        </w:tc>
        <w:tc>
          <w:tcPr>
            <w:tcW w:w="1373" w:type="dxa"/>
            <w:tcBorders>
              <w:top w:val="nil"/>
              <w:left w:val="nil"/>
              <w:bottom w:val="nil"/>
              <w:right w:val="nil"/>
            </w:tcBorders>
          </w:tcPr>
          <w:p w14:paraId="2341EAF3" w14:textId="21F8A10A" w:rsidR="007F1DD9" w:rsidRPr="00BF1181" w:rsidRDefault="007F1DD9" w:rsidP="00AC321D">
            <w:pPr>
              <w:tabs>
                <w:tab w:val="right" w:pos="989"/>
              </w:tabs>
            </w:pPr>
            <w:r w:rsidRPr="00BF1181">
              <w:t>$</w:t>
            </w:r>
            <w:r w:rsidRPr="00BF1181">
              <w:tab/>
            </w:r>
            <w:r w:rsidR="00D67D46">
              <w:t>64,404</w:t>
            </w:r>
          </w:p>
        </w:tc>
      </w:tr>
      <w:tr w:rsidR="007F1DD9" w:rsidRPr="00BF1181" w14:paraId="57B68942" w14:textId="77777777" w:rsidTr="00A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8D7127D" w14:textId="4C3EA541" w:rsidR="007F1DD9" w:rsidRPr="00BF1181" w:rsidRDefault="00AB6F9C" w:rsidP="00AC321D">
            <w:bookmarkStart w:id="23" w:name="_Hlk108622505"/>
            <w:r>
              <w:t xml:space="preserve">   </w:t>
            </w:r>
            <w:r w:rsidR="007F1DD9">
              <w:t>General and administrative</w:t>
            </w:r>
          </w:p>
        </w:tc>
        <w:tc>
          <w:tcPr>
            <w:tcW w:w="1372" w:type="dxa"/>
            <w:tcBorders>
              <w:bottom w:val="single" w:sz="4" w:space="0" w:color="auto"/>
            </w:tcBorders>
          </w:tcPr>
          <w:p w14:paraId="2DED0D45" w14:textId="528396B0" w:rsidR="007F1DD9" w:rsidRPr="00BF1181" w:rsidRDefault="007F1DD9" w:rsidP="00AC321D">
            <w:pPr>
              <w:tabs>
                <w:tab w:val="right" w:pos="969"/>
              </w:tabs>
            </w:pPr>
            <w:r w:rsidRPr="00BF1181">
              <w:tab/>
            </w:r>
            <w:r w:rsidR="00AC158C">
              <w:t>135,89</w:t>
            </w:r>
            <w:r w:rsidR="00BC6B92">
              <w:t>8</w:t>
            </w:r>
          </w:p>
        </w:tc>
        <w:tc>
          <w:tcPr>
            <w:tcW w:w="1373" w:type="dxa"/>
            <w:tcBorders>
              <w:bottom w:val="single" w:sz="4" w:space="0" w:color="auto"/>
            </w:tcBorders>
          </w:tcPr>
          <w:p w14:paraId="7A22CAF5" w14:textId="5FBDDE99" w:rsidR="007F1DD9" w:rsidRPr="00BF1181" w:rsidRDefault="007F1DD9" w:rsidP="00AC321D">
            <w:pPr>
              <w:tabs>
                <w:tab w:val="right" w:pos="926"/>
                <w:tab w:val="right" w:pos="989"/>
              </w:tabs>
            </w:pPr>
            <w:r w:rsidRPr="00BF1181">
              <w:tab/>
            </w:r>
            <w:r w:rsidR="00AC158C">
              <w:t>34,722</w:t>
            </w:r>
          </w:p>
        </w:tc>
        <w:tc>
          <w:tcPr>
            <w:tcW w:w="1372" w:type="dxa"/>
            <w:tcBorders>
              <w:bottom w:val="single" w:sz="4" w:space="0" w:color="auto"/>
            </w:tcBorders>
          </w:tcPr>
          <w:p w14:paraId="23D1105E" w14:textId="6037D1ED" w:rsidR="007F1DD9" w:rsidRPr="00BF1181" w:rsidRDefault="007F1DD9" w:rsidP="00AC321D">
            <w:pPr>
              <w:tabs>
                <w:tab w:val="right" w:pos="989"/>
              </w:tabs>
            </w:pPr>
            <w:r w:rsidRPr="00BF1181">
              <w:tab/>
            </w:r>
            <w:r w:rsidR="00D67D46">
              <w:t>407,695</w:t>
            </w:r>
          </w:p>
        </w:tc>
        <w:tc>
          <w:tcPr>
            <w:tcW w:w="1373" w:type="dxa"/>
            <w:tcBorders>
              <w:bottom w:val="single" w:sz="4" w:space="0" w:color="auto"/>
            </w:tcBorders>
          </w:tcPr>
          <w:p w14:paraId="266DA743" w14:textId="40560A0E" w:rsidR="007F1DD9" w:rsidRPr="00BF1181" w:rsidRDefault="007F1DD9" w:rsidP="00AC321D">
            <w:pPr>
              <w:tabs>
                <w:tab w:val="right" w:pos="989"/>
              </w:tabs>
            </w:pPr>
            <w:r w:rsidRPr="00BF1181">
              <w:tab/>
            </w:r>
            <w:r w:rsidR="00D67D46">
              <w:t>104,166</w:t>
            </w:r>
          </w:p>
        </w:tc>
      </w:tr>
      <w:tr w:rsidR="007F1DD9" w:rsidRPr="00BF1181" w14:paraId="207B179D" w14:textId="77777777" w:rsidTr="00447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10BC939A" w14:textId="589CC58C" w:rsidR="007F1DD9" w:rsidRPr="00BF1181" w:rsidRDefault="00AB6F9C" w:rsidP="00AC321D">
            <w:bookmarkStart w:id="24" w:name="_Hlk108622530"/>
            <w:bookmarkEnd w:id="23"/>
            <w:r>
              <w:t xml:space="preserve">   </w:t>
            </w:r>
            <w:r w:rsidR="007F1DD9" w:rsidRPr="00BF1181">
              <w:t>Total</w:t>
            </w:r>
            <w:r w:rsidR="0044760B">
              <w:t xml:space="preserve"> stock option expense</w:t>
            </w:r>
          </w:p>
        </w:tc>
        <w:tc>
          <w:tcPr>
            <w:tcW w:w="1372" w:type="dxa"/>
            <w:tcBorders>
              <w:top w:val="single" w:sz="4" w:space="0" w:color="auto"/>
            </w:tcBorders>
          </w:tcPr>
          <w:p w14:paraId="2D7740A1" w14:textId="7F71D33A" w:rsidR="007F1DD9" w:rsidRPr="00BF1181" w:rsidRDefault="007F1DD9" w:rsidP="00AC321D">
            <w:pPr>
              <w:tabs>
                <w:tab w:val="right" w:pos="969"/>
              </w:tabs>
            </w:pPr>
            <w:r w:rsidRPr="00BF1181">
              <w:tab/>
            </w:r>
            <w:r w:rsidR="00AC158C">
              <w:t>190,191</w:t>
            </w:r>
          </w:p>
        </w:tc>
        <w:tc>
          <w:tcPr>
            <w:tcW w:w="1373" w:type="dxa"/>
            <w:tcBorders>
              <w:top w:val="single" w:sz="4" w:space="0" w:color="auto"/>
            </w:tcBorders>
          </w:tcPr>
          <w:p w14:paraId="52F7377B" w14:textId="4CC15427" w:rsidR="007F1DD9" w:rsidRPr="00BF1181" w:rsidRDefault="007F1DD9" w:rsidP="00AC321D">
            <w:pPr>
              <w:tabs>
                <w:tab w:val="right" w:pos="926"/>
                <w:tab w:val="right" w:pos="989"/>
              </w:tabs>
            </w:pPr>
            <w:r w:rsidRPr="00BF1181">
              <w:tab/>
            </w:r>
            <w:r w:rsidR="00AC158C">
              <w:t>56,190</w:t>
            </w:r>
          </w:p>
        </w:tc>
        <w:tc>
          <w:tcPr>
            <w:tcW w:w="1372" w:type="dxa"/>
            <w:tcBorders>
              <w:top w:val="single" w:sz="4" w:space="0" w:color="auto"/>
            </w:tcBorders>
          </w:tcPr>
          <w:p w14:paraId="71183F19" w14:textId="6BBDC424" w:rsidR="007F1DD9" w:rsidRPr="00BF1181" w:rsidRDefault="007F1DD9" w:rsidP="00AC321D">
            <w:pPr>
              <w:tabs>
                <w:tab w:val="right" w:pos="989"/>
              </w:tabs>
            </w:pPr>
            <w:r w:rsidRPr="00BF1181">
              <w:tab/>
            </w:r>
            <w:r w:rsidR="00D67D46">
              <w:t>570,573</w:t>
            </w:r>
          </w:p>
        </w:tc>
        <w:tc>
          <w:tcPr>
            <w:tcW w:w="1373" w:type="dxa"/>
            <w:tcBorders>
              <w:top w:val="single" w:sz="4" w:space="0" w:color="auto"/>
            </w:tcBorders>
          </w:tcPr>
          <w:p w14:paraId="4A39A4FB" w14:textId="096CB130" w:rsidR="007F1DD9" w:rsidRPr="00BF1181" w:rsidRDefault="007F1DD9" w:rsidP="00AC321D">
            <w:pPr>
              <w:tabs>
                <w:tab w:val="right" w:pos="989"/>
              </w:tabs>
            </w:pPr>
            <w:r w:rsidRPr="00BF1181">
              <w:tab/>
            </w:r>
            <w:r w:rsidR="00AC158C">
              <w:t>1</w:t>
            </w:r>
            <w:r w:rsidR="00D67D46">
              <w:t>68,570</w:t>
            </w:r>
          </w:p>
        </w:tc>
      </w:tr>
      <w:tr w:rsidR="00AB6F9C" w:rsidRPr="00BF1181" w14:paraId="0EADC404" w14:textId="77777777" w:rsidTr="00447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06616C13" w14:textId="47AAD31D" w:rsidR="00AB6F9C" w:rsidRPr="00BF1181" w:rsidRDefault="00AB6F9C" w:rsidP="00AC321D">
            <w:r>
              <w:t>Stock award</w:t>
            </w:r>
            <w:r w:rsidR="0044760B">
              <w:t>s</w:t>
            </w:r>
            <w:r w:rsidR="00AE2EB4">
              <w:t xml:space="preserve"> (consultant</w:t>
            </w:r>
            <w:r w:rsidR="0044760B">
              <w:t>s</w:t>
            </w:r>
            <w:r w:rsidR="00AE2EB4">
              <w:t>)</w:t>
            </w:r>
            <w:r>
              <w:t>:</w:t>
            </w:r>
          </w:p>
        </w:tc>
        <w:tc>
          <w:tcPr>
            <w:tcW w:w="1372" w:type="dxa"/>
          </w:tcPr>
          <w:p w14:paraId="627BC3BB" w14:textId="77777777" w:rsidR="00AB6F9C" w:rsidRPr="00BF1181" w:rsidRDefault="00AB6F9C" w:rsidP="00AC321D">
            <w:pPr>
              <w:tabs>
                <w:tab w:val="right" w:pos="969"/>
              </w:tabs>
            </w:pPr>
          </w:p>
        </w:tc>
        <w:tc>
          <w:tcPr>
            <w:tcW w:w="1373" w:type="dxa"/>
          </w:tcPr>
          <w:p w14:paraId="4110CAEE" w14:textId="77777777" w:rsidR="00AB6F9C" w:rsidRPr="00BF1181" w:rsidRDefault="00AB6F9C" w:rsidP="00AC321D">
            <w:pPr>
              <w:tabs>
                <w:tab w:val="right" w:pos="926"/>
                <w:tab w:val="right" w:pos="989"/>
              </w:tabs>
            </w:pPr>
          </w:p>
        </w:tc>
        <w:tc>
          <w:tcPr>
            <w:tcW w:w="1372" w:type="dxa"/>
          </w:tcPr>
          <w:p w14:paraId="3C45D8D0" w14:textId="77777777" w:rsidR="00AB6F9C" w:rsidRPr="00BF1181" w:rsidRDefault="00AB6F9C" w:rsidP="00AC321D">
            <w:pPr>
              <w:tabs>
                <w:tab w:val="right" w:pos="989"/>
              </w:tabs>
            </w:pPr>
          </w:p>
        </w:tc>
        <w:tc>
          <w:tcPr>
            <w:tcW w:w="1373" w:type="dxa"/>
          </w:tcPr>
          <w:p w14:paraId="5E9B80EC" w14:textId="77777777" w:rsidR="00AB6F9C" w:rsidRPr="00BF1181" w:rsidRDefault="00AB6F9C" w:rsidP="00AC321D">
            <w:pPr>
              <w:tabs>
                <w:tab w:val="right" w:pos="989"/>
              </w:tabs>
            </w:pPr>
          </w:p>
        </w:tc>
      </w:tr>
      <w:bookmarkEnd w:id="24"/>
      <w:tr w:rsidR="00B41D77" w:rsidRPr="00BF1181" w14:paraId="3FC6AFFA" w14:textId="77777777" w:rsidTr="00AB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424C9EB2" w14:textId="17D948ED" w:rsidR="00B41D77" w:rsidRPr="00BF1181" w:rsidRDefault="00AB6F9C" w:rsidP="00AC321D">
            <w:r>
              <w:t xml:space="preserve">   </w:t>
            </w:r>
            <w:r w:rsidR="00B41D77">
              <w:t>General and administrative</w:t>
            </w:r>
          </w:p>
        </w:tc>
        <w:tc>
          <w:tcPr>
            <w:tcW w:w="1372" w:type="dxa"/>
            <w:tcBorders>
              <w:bottom w:val="single" w:sz="4" w:space="0" w:color="auto"/>
            </w:tcBorders>
          </w:tcPr>
          <w:p w14:paraId="1070E085" w14:textId="6CD6C368" w:rsidR="00B41D77" w:rsidRPr="00BF1181" w:rsidRDefault="00B41D77" w:rsidP="00AC321D">
            <w:pPr>
              <w:tabs>
                <w:tab w:val="right" w:pos="969"/>
              </w:tabs>
            </w:pPr>
            <w:r w:rsidRPr="00BF1181">
              <w:tab/>
            </w:r>
            <w:r w:rsidR="00D67D46">
              <w:t>48,375</w:t>
            </w:r>
          </w:p>
        </w:tc>
        <w:tc>
          <w:tcPr>
            <w:tcW w:w="1373" w:type="dxa"/>
            <w:tcBorders>
              <w:bottom w:val="single" w:sz="4" w:space="0" w:color="auto"/>
            </w:tcBorders>
          </w:tcPr>
          <w:p w14:paraId="5561F73A" w14:textId="3B65F2CE" w:rsidR="00B41D77" w:rsidRPr="00BF1181" w:rsidRDefault="00B41D77" w:rsidP="00AC321D">
            <w:pPr>
              <w:tabs>
                <w:tab w:val="right" w:pos="926"/>
                <w:tab w:val="right" w:pos="989"/>
              </w:tabs>
            </w:pPr>
            <w:r w:rsidRPr="00BF1181">
              <w:tab/>
            </w:r>
            <w:r w:rsidR="00D67D46">
              <w:t>29,560</w:t>
            </w:r>
          </w:p>
        </w:tc>
        <w:tc>
          <w:tcPr>
            <w:tcW w:w="1372" w:type="dxa"/>
            <w:tcBorders>
              <w:bottom w:val="single" w:sz="4" w:space="0" w:color="auto"/>
            </w:tcBorders>
          </w:tcPr>
          <w:p w14:paraId="2A564CA8" w14:textId="2EC49DB0" w:rsidR="00B41D77" w:rsidRPr="00BF1181" w:rsidRDefault="00B41D77" w:rsidP="00AC321D">
            <w:pPr>
              <w:tabs>
                <w:tab w:val="right" w:pos="989"/>
              </w:tabs>
            </w:pPr>
            <w:r w:rsidRPr="00BF1181">
              <w:tab/>
            </w:r>
            <w:r w:rsidR="00D67D46">
              <w:t>80,322</w:t>
            </w:r>
          </w:p>
        </w:tc>
        <w:tc>
          <w:tcPr>
            <w:tcW w:w="1373" w:type="dxa"/>
            <w:tcBorders>
              <w:bottom w:val="single" w:sz="4" w:space="0" w:color="auto"/>
            </w:tcBorders>
          </w:tcPr>
          <w:p w14:paraId="4BC781AD" w14:textId="103B0B1E" w:rsidR="00B41D77" w:rsidRPr="00BF1181" w:rsidRDefault="00B41D77" w:rsidP="00AC321D">
            <w:pPr>
              <w:tabs>
                <w:tab w:val="right" w:pos="989"/>
              </w:tabs>
            </w:pPr>
            <w:r w:rsidRPr="00BF1181">
              <w:tab/>
            </w:r>
            <w:r w:rsidR="00D67D46">
              <w:t>80,733</w:t>
            </w:r>
          </w:p>
        </w:tc>
      </w:tr>
      <w:tr w:rsidR="00B41D77" w:rsidRPr="00BF1181" w14:paraId="33DA19AA" w14:textId="77777777" w:rsidTr="00AC3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18BF98DB" w14:textId="4C8F86F4" w:rsidR="00B41D77" w:rsidRPr="00BF1181" w:rsidRDefault="00B41D77" w:rsidP="00AC321D">
            <w:r w:rsidRPr="00BF1181">
              <w:t>Total</w:t>
            </w:r>
            <w:r w:rsidR="00AB6F9C">
              <w:t xml:space="preserve"> stock-based compensation expense</w:t>
            </w:r>
          </w:p>
        </w:tc>
        <w:tc>
          <w:tcPr>
            <w:tcW w:w="1372" w:type="dxa"/>
            <w:tcBorders>
              <w:top w:val="single" w:sz="4" w:space="0" w:color="auto"/>
              <w:bottom w:val="double" w:sz="4" w:space="0" w:color="auto"/>
            </w:tcBorders>
          </w:tcPr>
          <w:p w14:paraId="0957C1D5" w14:textId="134D6A1A" w:rsidR="00B41D77" w:rsidRPr="00BF1181" w:rsidRDefault="00B41D77" w:rsidP="00AC321D">
            <w:pPr>
              <w:tabs>
                <w:tab w:val="right" w:pos="969"/>
              </w:tabs>
            </w:pPr>
            <w:r w:rsidRPr="00BF1181">
              <w:t>$</w:t>
            </w:r>
            <w:r w:rsidRPr="00BF1181">
              <w:tab/>
            </w:r>
            <w:r>
              <w:t>2</w:t>
            </w:r>
            <w:r w:rsidR="00D67D46">
              <w:t>38,566</w:t>
            </w:r>
          </w:p>
        </w:tc>
        <w:tc>
          <w:tcPr>
            <w:tcW w:w="1373" w:type="dxa"/>
            <w:tcBorders>
              <w:top w:val="single" w:sz="4" w:space="0" w:color="auto"/>
              <w:bottom w:val="double" w:sz="4" w:space="0" w:color="auto"/>
            </w:tcBorders>
          </w:tcPr>
          <w:p w14:paraId="06B3CBAB" w14:textId="2BED072C" w:rsidR="00B41D77" w:rsidRPr="00BF1181" w:rsidRDefault="00B41D77" w:rsidP="00AC321D">
            <w:pPr>
              <w:tabs>
                <w:tab w:val="right" w:pos="926"/>
                <w:tab w:val="right" w:pos="989"/>
              </w:tabs>
            </w:pPr>
            <w:r w:rsidRPr="00BF1181">
              <w:t>$</w:t>
            </w:r>
            <w:r w:rsidRPr="00BF1181">
              <w:tab/>
            </w:r>
            <w:r w:rsidR="00AE2EB4">
              <w:t>8</w:t>
            </w:r>
            <w:r w:rsidR="00D67D46">
              <w:t>5,750</w:t>
            </w:r>
          </w:p>
        </w:tc>
        <w:tc>
          <w:tcPr>
            <w:tcW w:w="1372" w:type="dxa"/>
            <w:tcBorders>
              <w:top w:val="single" w:sz="4" w:space="0" w:color="auto"/>
              <w:bottom w:val="double" w:sz="4" w:space="0" w:color="auto"/>
            </w:tcBorders>
          </w:tcPr>
          <w:p w14:paraId="3A9916F1" w14:textId="4A076DB4" w:rsidR="00B41D77" w:rsidRPr="00BF1181" w:rsidRDefault="00B41D77" w:rsidP="00AC321D">
            <w:pPr>
              <w:tabs>
                <w:tab w:val="right" w:pos="989"/>
              </w:tabs>
            </w:pPr>
            <w:r w:rsidRPr="00BF1181">
              <w:t>$</w:t>
            </w:r>
            <w:r w:rsidRPr="00BF1181">
              <w:tab/>
            </w:r>
            <w:r w:rsidR="00D67D46">
              <w:t>650,895</w:t>
            </w:r>
          </w:p>
        </w:tc>
        <w:tc>
          <w:tcPr>
            <w:tcW w:w="1373" w:type="dxa"/>
            <w:tcBorders>
              <w:top w:val="single" w:sz="4" w:space="0" w:color="auto"/>
              <w:bottom w:val="double" w:sz="4" w:space="0" w:color="auto"/>
            </w:tcBorders>
          </w:tcPr>
          <w:p w14:paraId="1E1201C1" w14:textId="16AC09C5" w:rsidR="00B41D77" w:rsidRPr="00BF1181" w:rsidRDefault="00B41D77" w:rsidP="00AC321D">
            <w:pPr>
              <w:tabs>
                <w:tab w:val="right" w:pos="989"/>
              </w:tabs>
            </w:pPr>
            <w:r w:rsidRPr="00BF1181">
              <w:t>$</w:t>
            </w:r>
            <w:r w:rsidRPr="00BF1181">
              <w:tab/>
            </w:r>
            <w:r w:rsidR="00D67D46">
              <w:t>249,303</w:t>
            </w:r>
          </w:p>
        </w:tc>
      </w:tr>
    </w:tbl>
    <w:p w14:paraId="58E9052D" w14:textId="39ADE707" w:rsidR="005918D5" w:rsidRDefault="005918D5" w:rsidP="007D4278">
      <w:pPr>
        <w:rPr>
          <w:color w:val="000000"/>
        </w:rPr>
      </w:pPr>
    </w:p>
    <w:p w14:paraId="6509EA16" w14:textId="637F456C" w:rsidR="002C6627" w:rsidRDefault="002C6627" w:rsidP="002C6627">
      <w:pPr>
        <w:rPr>
          <w:color w:val="000000"/>
        </w:rPr>
      </w:pPr>
      <w:r>
        <w:rPr>
          <w:color w:val="000000"/>
        </w:rPr>
        <w:lastRenderedPageBreak/>
        <w:t xml:space="preserve">During September 2021, we recorded $209,825 of expense associated with the issuance of a stock purchase warrant </w:t>
      </w:r>
      <w:r>
        <w:t>in connection with our entering into a technology licensing agreement; such amount was recorded as research and development expense.</w:t>
      </w:r>
    </w:p>
    <w:p w14:paraId="235092A2" w14:textId="77777777" w:rsidR="002C6627" w:rsidRDefault="002C6627" w:rsidP="007D4278">
      <w:pPr>
        <w:rPr>
          <w:color w:val="000000"/>
        </w:rPr>
      </w:pPr>
    </w:p>
    <w:p w14:paraId="46DAD27B" w14:textId="332648B7" w:rsidR="005918D5" w:rsidRPr="001C6303" w:rsidRDefault="005918D5" w:rsidP="005918D5">
      <w:pPr>
        <w:pStyle w:val="ListNumbering"/>
        <w:spacing w:after="0"/>
      </w:pPr>
      <w:r>
        <w:t>7</w:t>
      </w:r>
      <w:r w:rsidRPr="001C6303">
        <w:t>.</w:t>
      </w:r>
      <w:r w:rsidRPr="001C6303">
        <w:tab/>
      </w:r>
      <w:r>
        <w:t xml:space="preserve">Net </w:t>
      </w:r>
      <w:r w:rsidRPr="001C6303">
        <w:t>Loss Per Share</w:t>
      </w:r>
    </w:p>
    <w:p w14:paraId="41CB3F3D" w14:textId="77777777" w:rsidR="004C192E" w:rsidRDefault="004C192E" w:rsidP="005918D5">
      <w:pPr>
        <w:pStyle w:val="BodyText"/>
        <w:spacing w:after="0"/>
      </w:pPr>
    </w:p>
    <w:p w14:paraId="798233C4" w14:textId="25784565" w:rsidR="005918D5" w:rsidRDefault="005918D5" w:rsidP="005918D5">
      <w:pPr>
        <w:pStyle w:val="BodyText"/>
        <w:spacing w:after="0"/>
      </w:pPr>
      <w:r w:rsidRPr="00E576BB">
        <w:t xml:space="preserve">Basic and diluted loss per common share are computed based on the weighted average number of common shares outstanding. </w:t>
      </w:r>
      <w:r w:rsidRPr="00E321CC">
        <w:t xml:space="preserve">The Company’s </w:t>
      </w:r>
      <w:r w:rsidR="00CB1D71">
        <w:t xml:space="preserve">additional </w:t>
      </w:r>
      <w:r w:rsidRPr="00E321CC">
        <w:t xml:space="preserve">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5" w:name="_Hlk107585474"/>
      <w:r>
        <w:t xml:space="preserve">The securities that could potentially dilute basic earnings per share in the future and that have been excluded </w:t>
      </w:r>
      <w:bookmarkEnd w:id="25"/>
      <w:r>
        <w:t>from the computation of diluted net loss per share</w:t>
      </w:r>
      <w:r w:rsidRPr="00E321CC">
        <w:t xml:space="preserve"> totaled </w:t>
      </w:r>
      <w:r w:rsidR="0029604A">
        <w:t>14,346,415</w:t>
      </w:r>
      <w:r w:rsidRPr="00E321CC">
        <w:t xml:space="preserve"> and </w:t>
      </w:r>
      <w:r w:rsidR="0029604A">
        <w:t>3,418,631</w:t>
      </w:r>
      <w:r w:rsidRPr="00E321CC">
        <w:t xml:space="preserve"> shares at </w:t>
      </w:r>
      <w:r w:rsidR="0029604A">
        <w:t>September</w:t>
      </w:r>
      <w:r w:rsidRPr="00E321CC">
        <w:t xml:space="preserve"> 3</w:t>
      </w:r>
      <w:r>
        <w:t>0</w:t>
      </w:r>
      <w:r w:rsidRPr="00E321CC">
        <w:t>, 2022 and 2021, respectively.</w:t>
      </w:r>
    </w:p>
    <w:p w14:paraId="1D8760F8" w14:textId="77777777" w:rsidR="007D4278" w:rsidRDefault="007D4278" w:rsidP="000A55AE">
      <w:pPr>
        <w:rPr>
          <w:color w:val="000000"/>
        </w:rPr>
      </w:pPr>
    </w:p>
    <w:p w14:paraId="45163D60" w14:textId="5102002A" w:rsidR="00881E20" w:rsidRPr="001C6303" w:rsidRDefault="00716911" w:rsidP="000A55AE">
      <w:pPr>
        <w:pStyle w:val="ListNumbering"/>
        <w:spacing w:after="0"/>
      </w:pPr>
      <w:bookmarkStart w:id="26" w:name="_Hlk108686754"/>
      <w:r>
        <w:t>8</w:t>
      </w:r>
      <w:r w:rsidR="00881E20" w:rsidRPr="001C6303">
        <w:t>.</w:t>
      </w:r>
      <w:r w:rsidR="00881E20" w:rsidRPr="001C6303">
        <w:tab/>
        <w:t>Income Taxes</w:t>
      </w:r>
    </w:p>
    <w:p w14:paraId="270FFEB0" w14:textId="77777777" w:rsidR="004C192E" w:rsidRDefault="004C192E" w:rsidP="004C192E">
      <w:pPr>
        <w:pStyle w:val="BodyText"/>
        <w:spacing w:after="0"/>
      </w:pPr>
    </w:p>
    <w:p w14:paraId="2879B306" w14:textId="7564066F" w:rsidR="004C192E" w:rsidRDefault="004C192E" w:rsidP="004C192E">
      <w:pPr>
        <w:pStyle w:val="BodyText"/>
        <w:spacing w:after="0"/>
      </w:pPr>
      <w:r>
        <w:t xml:space="preserve">No provision for income taxes was recorded in either of the </w:t>
      </w:r>
      <w:r w:rsidR="0029604A">
        <w:t>nine</w:t>
      </w:r>
      <w:r>
        <w:t xml:space="preserve">-month periods ended </w:t>
      </w:r>
      <w:r w:rsidR="0029604A">
        <w:t>September</w:t>
      </w:r>
      <w:r>
        <w:t xml:space="preserve"> 30, 2022 and 2021. The Company remains in a cumulative loss position with a full valuation allowance recorded against its net deferred income tax assets as of </w:t>
      </w:r>
      <w:r w:rsidR="0029604A">
        <w:t>September</w:t>
      </w:r>
      <w:r>
        <w:t xml:space="preserve"> 30, 2022.</w:t>
      </w:r>
    </w:p>
    <w:p w14:paraId="1957BA5A" w14:textId="7B9F28E4" w:rsidR="00AF68E1" w:rsidRDefault="00AF68E1" w:rsidP="004C192E">
      <w:pPr>
        <w:pStyle w:val="BodyText"/>
        <w:spacing w:after="0"/>
      </w:pPr>
    </w:p>
    <w:p w14:paraId="23F0A10D" w14:textId="5C1233FB" w:rsidR="00AF68E1" w:rsidRDefault="00AF68E1" w:rsidP="004C192E">
      <w:pPr>
        <w:pStyle w:val="BodyText"/>
        <w:spacing w:after="0"/>
      </w:pPr>
    </w:p>
    <w:p w14:paraId="416117E0" w14:textId="77777777" w:rsidR="00AF68E1" w:rsidRDefault="00AF68E1" w:rsidP="004C192E">
      <w:pPr>
        <w:pStyle w:val="BodyText"/>
        <w:spacing w:after="0"/>
      </w:pPr>
    </w:p>
    <w:bookmarkEnd w:id="26"/>
    <w:p w14:paraId="511152B0" w14:textId="0405CA9C" w:rsidR="00BD6BBE" w:rsidRPr="001C6303" w:rsidRDefault="0054260E" w:rsidP="000A55AE">
      <w:pPr>
        <w:pStyle w:val="Heading2"/>
        <w:numPr>
          <w:ilvl w:val="0"/>
          <w:numId w:val="0"/>
        </w:numPr>
        <w:tabs>
          <w:tab w:val="left" w:pos="1080"/>
        </w:tabs>
        <w:spacing w:after="0"/>
      </w:pPr>
      <w:r w:rsidRPr="001C6303">
        <w:rPr>
          <w:u w:val="none"/>
        </w:rPr>
        <w:t>Item 2</w:t>
      </w:r>
      <w:r w:rsidRPr="001C6303">
        <w:rPr>
          <w:u w:val="none"/>
        </w:rPr>
        <w:tab/>
      </w:r>
      <w:r w:rsidR="00BD6BBE" w:rsidRPr="001C6303">
        <w:t>Management</w:t>
      </w:r>
      <w:r w:rsidR="00B44A4C" w:rsidRPr="001C6303">
        <w:t>’</w:t>
      </w:r>
      <w:r w:rsidR="00BD6BBE" w:rsidRPr="001C6303">
        <w:t>s Discussion and Analysis of Financial Condition And Results of Operations</w:t>
      </w:r>
      <w:bookmarkEnd w:id="21"/>
    </w:p>
    <w:p w14:paraId="4F114C50" w14:textId="77777777" w:rsidR="00244465" w:rsidRDefault="00244465" w:rsidP="00B70FE8">
      <w:pPr>
        <w:tabs>
          <w:tab w:val="decimal" w:pos="9180"/>
        </w:tabs>
        <w:rPr>
          <w:bCs/>
          <w:i/>
          <w:iCs/>
        </w:rPr>
      </w:pPr>
    </w:p>
    <w:p w14:paraId="577F7BF7" w14:textId="51734B01" w:rsidR="00B70FE8" w:rsidRPr="0009354D" w:rsidRDefault="00B70FE8" w:rsidP="00B70FE8">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Pr>
          <w:bCs/>
          <w:i/>
          <w:iCs/>
        </w:rPr>
        <w:t>1</w:t>
      </w:r>
      <w:r w:rsidRPr="0009354D">
        <w:rPr>
          <w:bCs/>
          <w:i/>
          <w:iCs/>
        </w:rPr>
        <w:t xml:space="preserve">, which was filed with the Securities and Exchange Commission on March </w:t>
      </w:r>
      <w:r>
        <w:rPr>
          <w:bCs/>
          <w:i/>
          <w:iCs/>
        </w:rPr>
        <w:t>9</w:t>
      </w:r>
      <w:r w:rsidRPr="0009354D">
        <w:rPr>
          <w:bCs/>
          <w:i/>
          <w:iCs/>
        </w:rPr>
        <w:t>, 202</w:t>
      </w:r>
      <w:r>
        <w:rPr>
          <w:bCs/>
          <w:i/>
          <w:iCs/>
        </w:rPr>
        <w:t>2</w:t>
      </w:r>
      <w:r w:rsidRPr="0009354D">
        <w:rPr>
          <w:bCs/>
          <w:i/>
          <w:iCs/>
        </w:rPr>
        <w:t>.</w:t>
      </w:r>
    </w:p>
    <w:p w14:paraId="50C394BC" w14:textId="77777777" w:rsidR="00B70FE8" w:rsidRPr="0009354D" w:rsidRDefault="00B70FE8" w:rsidP="00B70FE8">
      <w:pPr>
        <w:tabs>
          <w:tab w:val="decimal" w:pos="9180"/>
        </w:tabs>
        <w:rPr>
          <w:bCs/>
        </w:rPr>
      </w:pPr>
    </w:p>
    <w:p w14:paraId="7A2DE09C" w14:textId="77777777" w:rsidR="00B70FE8" w:rsidRPr="0009354D" w:rsidRDefault="00B70FE8" w:rsidP="00B70FE8">
      <w:pPr>
        <w:tabs>
          <w:tab w:val="decimal" w:pos="9180"/>
        </w:tabs>
        <w:rPr>
          <w:b/>
        </w:rPr>
      </w:pPr>
      <w:r w:rsidRPr="0009354D">
        <w:rPr>
          <w:b/>
        </w:rPr>
        <w:t>Forward-Looking Statements</w:t>
      </w:r>
    </w:p>
    <w:p w14:paraId="4D0ECB97" w14:textId="77777777" w:rsidR="00B70FE8" w:rsidRPr="0009354D" w:rsidRDefault="00B70FE8" w:rsidP="00B70FE8">
      <w:pPr>
        <w:tabs>
          <w:tab w:val="decimal" w:pos="9180"/>
        </w:tabs>
        <w:rPr>
          <w:bCs/>
        </w:rPr>
      </w:pPr>
    </w:p>
    <w:p w14:paraId="4BA530B4" w14:textId="5E5C77AE" w:rsidR="00B70FE8" w:rsidRPr="0009354D" w:rsidRDefault="00B70FE8" w:rsidP="00B70FE8">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rPr>
        <w:t>1</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4D0EE904" w14:textId="58A70E4A" w:rsidR="00E271E8" w:rsidRPr="00E16A75" w:rsidRDefault="00E271E8" w:rsidP="00E271E8">
      <w:r w:rsidRPr="00E16A75">
        <w:t xml:space="preserve">GeoVax is a clinical-stage biotechnology company developing immunotherapies and vaccines against infectious diseases and cancers using novel vector vaccine platforms. </w:t>
      </w:r>
      <w:r w:rsidRPr="00E16A75">
        <w:rPr>
          <w:bCs/>
        </w:rPr>
        <w:t xml:space="preserve">GeoVax’s product pipeline includes ongoing human clinical trials in COVID-19 and </w:t>
      </w:r>
      <w:r w:rsidRPr="00E16A75">
        <w:t xml:space="preserve">head and neck cancer. Additional research and development programs include preventive vaccines against Zika Virus, hemorrhagic fever viruses (Ebola, Sudan, Marburg, and Lassa) and malaria, as well as immunotherapies for solid tumors. </w:t>
      </w:r>
    </w:p>
    <w:p w14:paraId="14453091" w14:textId="77777777" w:rsidR="007318C7" w:rsidRPr="00E16A75" w:rsidRDefault="007318C7" w:rsidP="007318C7"/>
    <w:p w14:paraId="493A59E6" w14:textId="77777777" w:rsidR="00AF68E1" w:rsidRDefault="00AF68E1">
      <w:r>
        <w:br w:type="page"/>
      </w:r>
    </w:p>
    <w:p w14:paraId="0F12E51F" w14:textId="7C50F7AB" w:rsidR="00177E79" w:rsidRPr="00E16A75" w:rsidRDefault="00177E79" w:rsidP="00177E79">
      <w:r w:rsidRPr="00E16A75">
        <w:lastRenderedPageBreak/>
        <w:t>Our programs are in various stages of development</w:t>
      </w:r>
      <w:bookmarkStart w:id="27" w:name="_Hlk86323645"/>
      <w:r w:rsidR="00B26669">
        <w:t>, the most significant of which are summarized below:</w:t>
      </w:r>
    </w:p>
    <w:p w14:paraId="123A7144" w14:textId="253B9533" w:rsidR="00862EEA" w:rsidRDefault="006874E2" w:rsidP="00177E79">
      <w:pPr>
        <w:pStyle w:val="ListParagraph"/>
        <w:numPr>
          <w:ilvl w:val="0"/>
          <w:numId w:val="11"/>
        </w:numPr>
        <w:ind w:left="360"/>
        <w:rPr>
          <w:rFonts w:ascii="Times New Roman" w:hAnsi="Times New Roman"/>
          <w:bCs/>
        </w:rPr>
      </w:pPr>
      <w:r w:rsidRPr="00E16A75">
        <w:rPr>
          <w:rFonts w:ascii="Times New Roman" w:hAnsi="Times New Roman"/>
          <w:bCs/>
        </w:rPr>
        <w:t>GEO-CM</w:t>
      </w:r>
      <w:r w:rsidR="00177E79" w:rsidRPr="00E16A75">
        <w:rPr>
          <w:rFonts w:ascii="Times New Roman" w:hAnsi="Times New Roman"/>
          <w:bCs/>
        </w:rPr>
        <w:t>04S1 is currently undergoing a Phase 2 clinical trial</w:t>
      </w:r>
      <w:r w:rsidR="00E16A75" w:rsidRPr="00E16A75">
        <w:rPr>
          <w:rFonts w:ascii="Times New Roman" w:hAnsi="Times New Roman"/>
          <w:bCs/>
        </w:rPr>
        <w:t xml:space="preserve"> (NCT04977024)</w:t>
      </w:r>
      <w:r w:rsidR="00177E79" w:rsidRPr="00E16A75">
        <w:rPr>
          <w:rFonts w:ascii="Times New Roman" w:hAnsi="Times New Roman"/>
          <w:bCs/>
        </w:rPr>
        <w:t>, evaluating its safety and efficacy as a preventive COVID-19 vaccine</w:t>
      </w:r>
      <w:r w:rsidR="00937B1B">
        <w:rPr>
          <w:rFonts w:ascii="Times New Roman" w:hAnsi="Times New Roman"/>
          <w:bCs/>
        </w:rPr>
        <w:t xml:space="preserve"> </w:t>
      </w:r>
      <w:r w:rsidR="00862EEA" w:rsidRPr="00C42559">
        <w:rPr>
          <w:rFonts w:ascii="Times New Roman" w:hAnsi="Times New Roman"/>
          <w:bCs/>
        </w:rPr>
        <w:t>in patients who have previously received either an allogeneic hematopoietic cell transplant, an autologous hematopoietic cell transplant or chimeric antigen receptor (CAR) T cell therapy</w:t>
      </w:r>
      <w:r w:rsidR="00862EEA">
        <w:rPr>
          <w:rFonts w:ascii="Times New Roman" w:hAnsi="Times New Roman"/>
          <w:bCs/>
        </w:rPr>
        <w:t xml:space="preserve">. </w:t>
      </w:r>
      <w:r w:rsidR="00862EEA" w:rsidRPr="00C42559">
        <w:rPr>
          <w:rFonts w:ascii="Times New Roman" w:hAnsi="Times New Roman"/>
          <w:bCs/>
        </w:rPr>
        <w:t>GEO-CM04S1 is the only COVID-19 vaccine that includes both SARS-CoV-2 spike and nucleocapsid proteins to advance to a Phase 2 trial in cancer patients. The trial is also the first to compare an investigational multi-antigenic COVID-19 vaccine to the current Food and Drug Administration (FDA)-approved mRNA vaccine from Pfizer/BioNTech in people who are immunocompromised</w:t>
      </w:r>
      <w:r w:rsidR="00862EEA">
        <w:rPr>
          <w:rFonts w:ascii="Times New Roman" w:hAnsi="Times New Roman"/>
          <w:bCs/>
        </w:rPr>
        <w:t>.</w:t>
      </w:r>
    </w:p>
    <w:p w14:paraId="30710436" w14:textId="53F84247" w:rsidR="00833A45" w:rsidRPr="00833A45" w:rsidRDefault="00862EEA" w:rsidP="00833A45">
      <w:pPr>
        <w:pStyle w:val="ListParagraph"/>
        <w:numPr>
          <w:ilvl w:val="0"/>
          <w:numId w:val="11"/>
        </w:numPr>
        <w:ind w:left="360"/>
        <w:rPr>
          <w:rFonts w:ascii="Times New Roman" w:hAnsi="Times New Roman"/>
          <w:bCs/>
        </w:rPr>
      </w:pPr>
      <w:r>
        <w:rPr>
          <w:rFonts w:ascii="Times New Roman" w:hAnsi="Times New Roman"/>
          <w:bCs/>
        </w:rPr>
        <w:t xml:space="preserve">GEO-CM04S1 is also undergoing </w:t>
      </w:r>
      <w:r w:rsidR="00937B1B" w:rsidRPr="00862EEA">
        <w:rPr>
          <w:bCs/>
        </w:rPr>
        <w:t>the Phase 2 portion of a Phase 1/2 trial (NCT04639466), evaluating its use as a universal booster vaccine to current FDA-approved two-shot mRNA vaccines from Pfizer/BioNTech and Moderna</w:t>
      </w:r>
      <w:r w:rsidR="006874E2" w:rsidRPr="00862EEA">
        <w:rPr>
          <w:bCs/>
        </w:rPr>
        <w:t>.</w:t>
      </w:r>
    </w:p>
    <w:p w14:paraId="28FC775C" w14:textId="5EAB00D3" w:rsidR="00177E79" w:rsidRPr="00E16A75" w:rsidRDefault="00177E79" w:rsidP="00177E79">
      <w:pPr>
        <w:pStyle w:val="ListParagraph"/>
        <w:numPr>
          <w:ilvl w:val="0"/>
          <w:numId w:val="11"/>
        </w:numPr>
        <w:ind w:left="360"/>
        <w:rPr>
          <w:rFonts w:ascii="Times New Roman" w:hAnsi="Times New Roman"/>
          <w:bCs/>
        </w:rPr>
      </w:pPr>
      <w:r w:rsidRPr="00E16A75">
        <w:rPr>
          <w:rFonts w:ascii="Times New Roman" w:hAnsi="Times New Roman"/>
          <w:bCs/>
        </w:rPr>
        <w:t>Gedeptin</w:t>
      </w:r>
      <w:r w:rsidRPr="00E16A75">
        <w:rPr>
          <w:rFonts w:ascii="Times New Roman" w:hAnsi="Times New Roman"/>
          <w:bCs/>
          <w:vertAlign w:val="superscript"/>
        </w:rPr>
        <w:t>®</w:t>
      </w:r>
      <w:r w:rsidRPr="00E16A75">
        <w:rPr>
          <w:rFonts w:ascii="Times New Roman" w:hAnsi="Times New Roman"/>
          <w:bCs/>
        </w:rPr>
        <w:t xml:space="preserve"> is currently undergoing a Phase 1/2 clinical trial </w:t>
      </w:r>
      <w:r w:rsidR="00937B1B" w:rsidRPr="00937B1B">
        <w:rPr>
          <w:rFonts w:ascii="Times New Roman" w:hAnsi="Times New Roman"/>
          <w:bCs/>
        </w:rPr>
        <w:t>(NCT03754933)</w:t>
      </w:r>
      <w:r w:rsidR="00937B1B">
        <w:rPr>
          <w:rFonts w:ascii="Times New Roman" w:hAnsi="Times New Roman"/>
          <w:bCs/>
        </w:rPr>
        <w:t xml:space="preserve"> </w:t>
      </w:r>
      <w:r w:rsidRPr="00E16A75">
        <w:rPr>
          <w:rFonts w:ascii="Times New Roman" w:hAnsi="Times New Roman"/>
          <w:bCs/>
        </w:rPr>
        <w:t xml:space="preserve">for treatment of patients with </w:t>
      </w:r>
      <w:r w:rsidR="00D12423">
        <w:rPr>
          <w:rFonts w:ascii="Times New Roman" w:hAnsi="Times New Roman"/>
          <w:bCs/>
        </w:rPr>
        <w:t xml:space="preserve">advanced </w:t>
      </w:r>
      <w:r w:rsidR="00862EEA">
        <w:rPr>
          <w:rFonts w:ascii="Times New Roman" w:hAnsi="Times New Roman"/>
          <w:bCs/>
        </w:rPr>
        <w:t xml:space="preserve">head and neck squamous cell carcinoma (HNSCC). </w:t>
      </w:r>
      <w:r w:rsidR="00EB7808">
        <w:rPr>
          <w:rFonts w:ascii="Times New Roman" w:hAnsi="Times New Roman"/>
          <w:bCs/>
        </w:rPr>
        <w:t>T</w:t>
      </w:r>
      <w:r w:rsidR="00862EEA">
        <w:rPr>
          <w:rFonts w:ascii="Times New Roman" w:hAnsi="Times New Roman"/>
          <w:bCs/>
        </w:rPr>
        <w:t>his trial</w:t>
      </w:r>
      <w:bookmarkEnd w:id="27"/>
      <w:r w:rsidRPr="00E16A75">
        <w:rPr>
          <w:rFonts w:ascii="Times New Roman" w:hAnsi="Times New Roman"/>
          <w:bCs/>
        </w:rPr>
        <w:t xml:space="preserve"> is being </w:t>
      </w:r>
      <w:r w:rsidR="00EB7808">
        <w:rPr>
          <w:rFonts w:ascii="Times New Roman" w:hAnsi="Times New Roman"/>
          <w:bCs/>
        </w:rPr>
        <w:t>funded in part by</w:t>
      </w:r>
      <w:r w:rsidRPr="00E16A75">
        <w:rPr>
          <w:rFonts w:ascii="Times New Roman" w:hAnsi="Times New Roman"/>
          <w:bCs/>
        </w:rPr>
        <w:t xml:space="preserve"> the U.S. Food &amp; Drug Administration (FDA) pursuant to its Orphan Products</w:t>
      </w:r>
      <w:r w:rsidR="00862EEA">
        <w:rPr>
          <w:rFonts w:ascii="Times New Roman" w:hAnsi="Times New Roman"/>
          <w:bCs/>
        </w:rPr>
        <w:t xml:space="preserve"> Clinical Trials</w:t>
      </w:r>
      <w:r w:rsidRPr="00E16A75">
        <w:rPr>
          <w:rFonts w:ascii="Times New Roman" w:hAnsi="Times New Roman"/>
          <w:bCs/>
        </w:rPr>
        <w:t xml:space="preserve"> Grants Program. </w:t>
      </w:r>
      <w:r w:rsidR="00121FBA">
        <w:rPr>
          <w:rFonts w:ascii="Times New Roman" w:hAnsi="Times New Roman"/>
          <w:bCs/>
        </w:rPr>
        <w:t>T</w:t>
      </w:r>
      <w:r w:rsidR="00EB7808" w:rsidRPr="00EB7808">
        <w:rPr>
          <w:rFonts w:ascii="Times New Roman" w:hAnsi="Times New Roman"/>
          <w:bCs/>
        </w:rPr>
        <w:t>he trial is designed to inform the design of a larger patient trial that also may involve patients with other anatomically accessible oral and pharyngeal cancers, including cancers of the lip, tongue, gum, floor of mouth, salivary gland and other oral cavities</w:t>
      </w:r>
      <w:r w:rsidR="00121FBA">
        <w:rPr>
          <w:rFonts w:ascii="Times New Roman" w:hAnsi="Times New Roman"/>
          <w:bCs/>
        </w:rPr>
        <w:t>.</w:t>
      </w:r>
    </w:p>
    <w:p w14:paraId="7650BD5C" w14:textId="58342DC9" w:rsidR="00177E79" w:rsidRDefault="00BB4AA3" w:rsidP="00177E79">
      <w:pPr>
        <w:pStyle w:val="ListParagraph"/>
        <w:numPr>
          <w:ilvl w:val="0"/>
          <w:numId w:val="11"/>
        </w:numPr>
        <w:ind w:left="360"/>
        <w:rPr>
          <w:rFonts w:ascii="Times New Roman" w:hAnsi="Times New Roman"/>
        </w:rPr>
      </w:pPr>
      <w:r>
        <w:rPr>
          <w:rFonts w:ascii="Times New Roman" w:hAnsi="Times New Roman"/>
        </w:rPr>
        <w:t>GEO-CM02 (o</w:t>
      </w:r>
      <w:r w:rsidR="00177E79" w:rsidRPr="00E16A75">
        <w:rPr>
          <w:rFonts w:ascii="Times New Roman" w:hAnsi="Times New Roman"/>
        </w:rPr>
        <w:t>ur pan</w:t>
      </w:r>
      <w:r w:rsidR="00D12423">
        <w:rPr>
          <w:rFonts w:ascii="Times New Roman" w:hAnsi="Times New Roman"/>
        </w:rPr>
        <w:t>-</w:t>
      </w:r>
      <w:r w:rsidR="00177E79" w:rsidRPr="00E16A75">
        <w:rPr>
          <w:rFonts w:ascii="Times New Roman" w:hAnsi="Times New Roman"/>
        </w:rPr>
        <w:t xml:space="preserve">coronavirus vaccine) </w:t>
      </w:r>
      <w:r w:rsidR="00937B1B">
        <w:rPr>
          <w:rFonts w:ascii="Times New Roman" w:hAnsi="Times New Roman"/>
        </w:rPr>
        <w:t>has shown promising results in preclinical studies to date</w:t>
      </w:r>
      <w:r w:rsidR="00121FBA">
        <w:rPr>
          <w:rFonts w:ascii="Times New Roman" w:hAnsi="Times New Roman"/>
        </w:rPr>
        <w:t xml:space="preserve">. Building on these earlier findings, </w:t>
      </w:r>
      <w:r>
        <w:rPr>
          <w:rFonts w:ascii="Times New Roman" w:hAnsi="Times New Roman"/>
        </w:rPr>
        <w:t>we have initiated</w:t>
      </w:r>
      <w:r w:rsidR="00177E79" w:rsidRPr="00E16A75">
        <w:rPr>
          <w:rFonts w:ascii="Times New Roman" w:hAnsi="Times New Roman"/>
        </w:rPr>
        <w:t xml:space="preserve"> </w:t>
      </w:r>
      <w:r w:rsidR="00937B1B">
        <w:rPr>
          <w:rFonts w:ascii="Times New Roman" w:hAnsi="Times New Roman"/>
        </w:rPr>
        <w:t xml:space="preserve">additional studies to prepare for </w:t>
      </w:r>
      <w:r w:rsidR="00121FBA">
        <w:rPr>
          <w:rFonts w:ascii="Times New Roman" w:hAnsi="Times New Roman"/>
        </w:rPr>
        <w:t xml:space="preserve">an </w:t>
      </w:r>
      <w:r w:rsidR="00937B1B">
        <w:rPr>
          <w:rFonts w:ascii="Times New Roman" w:hAnsi="Times New Roman"/>
        </w:rPr>
        <w:t xml:space="preserve">Investigational New Drug </w:t>
      </w:r>
      <w:r w:rsidR="00121FBA">
        <w:rPr>
          <w:rFonts w:ascii="Times New Roman" w:hAnsi="Times New Roman"/>
        </w:rPr>
        <w:t>application</w:t>
      </w:r>
      <w:r w:rsidR="00121FBA">
        <w:rPr>
          <w:rFonts w:ascii="Times New Roman" w:hAnsi="Times New Roman"/>
        </w:rPr>
        <w:t xml:space="preserve"> </w:t>
      </w:r>
      <w:r w:rsidR="00937B1B">
        <w:rPr>
          <w:rFonts w:ascii="Times New Roman" w:hAnsi="Times New Roman"/>
        </w:rPr>
        <w:t>and subsequent human clinical trials.</w:t>
      </w:r>
    </w:p>
    <w:p w14:paraId="77FB0724" w14:textId="34E10A0D" w:rsidR="003A420F" w:rsidRPr="000F378F" w:rsidRDefault="003A420F" w:rsidP="003A420F">
      <w:pPr>
        <w:pStyle w:val="ListParagraph"/>
        <w:numPr>
          <w:ilvl w:val="0"/>
          <w:numId w:val="11"/>
        </w:numPr>
        <w:ind w:left="360"/>
        <w:rPr>
          <w:rFonts w:ascii="Times New Roman" w:hAnsi="Times New Roman"/>
        </w:rPr>
      </w:pPr>
      <w:r>
        <w:rPr>
          <w:rFonts w:ascii="Times New Roman" w:hAnsi="Times New Roman"/>
        </w:rPr>
        <w:t>Our research program for treatment of solid tumors (MVA-VLP-MUC1)</w:t>
      </w:r>
      <w:r w:rsidR="000F378F">
        <w:rPr>
          <w:rFonts w:ascii="Times New Roman" w:hAnsi="Times New Roman"/>
        </w:rPr>
        <w:t xml:space="preserve"> is progressing with additional preclinical studies recently initiated. </w:t>
      </w:r>
      <w:r w:rsidR="000F378F" w:rsidRPr="00C42559">
        <w:t xml:space="preserve">The initial animal studies of our MVA-VLP-MUC1 vaccine and ICI combination have been encouraging, showing that a combination of our MVA-VLP-MUC1 vaccine candidate with a MUC1 synthetic peptide was capable of breaking tolerance to human MUC1 in transgenic mice and inducing immune responses with efficacy against challenge in a lymphoma tumor model. Our studies also demonstrated a significant reduction of the tumor burden in a mouse model for colorectal cancer. </w:t>
      </w:r>
      <w:r w:rsidR="000F378F">
        <w:t>W</w:t>
      </w:r>
      <w:r w:rsidR="000F378F" w:rsidRPr="00C42559">
        <w:t xml:space="preserve">e </w:t>
      </w:r>
      <w:r w:rsidR="000F378F">
        <w:t>have initiated</w:t>
      </w:r>
      <w:r w:rsidR="000F378F" w:rsidRPr="00C42559">
        <w:t xml:space="preserve"> studies to </w:t>
      </w:r>
      <w:r w:rsidR="000F378F">
        <w:t>determine</w:t>
      </w:r>
      <w:r w:rsidR="000F378F" w:rsidRPr="00C42559">
        <w:t xml:space="preserve"> the optimal course and schedule of vaccination to define a protocol that can be evaluated in a Phase 1 clinical trial</w:t>
      </w:r>
      <w:r w:rsidR="000F378F">
        <w:t>.</w:t>
      </w:r>
    </w:p>
    <w:p w14:paraId="43EF751C" w14:textId="384B5E01" w:rsidR="00684966" w:rsidRDefault="00177E79" w:rsidP="00177E79">
      <w:pPr>
        <w:pStyle w:val="ListParagraph"/>
        <w:numPr>
          <w:ilvl w:val="0"/>
          <w:numId w:val="11"/>
        </w:numPr>
        <w:ind w:left="360"/>
        <w:rPr>
          <w:rFonts w:ascii="Times New Roman" w:hAnsi="Times New Roman"/>
        </w:rPr>
      </w:pPr>
      <w:r w:rsidRPr="00E16A75">
        <w:rPr>
          <w:rFonts w:ascii="Times New Roman" w:hAnsi="Times New Roman"/>
        </w:rPr>
        <w:t>Our</w:t>
      </w:r>
      <w:r w:rsidR="00684966">
        <w:rPr>
          <w:rFonts w:ascii="Times New Roman" w:hAnsi="Times New Roman"/>
        </w:rPr>
        <w:t xml:space="preserve"> additional</w:t>
      </w:r>
      <w:r w:rsidRPr="00E16A75">
        <w:rPr>
          <w:rFonts w:ascii="Times New Roman" w:hAnsi="Times New Roman"/>
        </w:rPr>
        <w:t xml:space="preserve"> </w:t>
      </w:r>
      <w:r w:rsidR="00684966">
        <w:rPr>
          <w:rFonts w:ascii="Times New Roman" w:hAnsi="Times New Roman"/>
        </w:rPr>
        <w:t>research programs for vaccines against hemorrhagic fever viruses</w:t>
      </w:r>
      <w:r w:rsidR="00833A45">
        <w:rPr>
          <w:rFonts w:ascii="Times New Roman" w:hAnsi="Times New Roman"/>
        </w:rPr>
        <w:t xml:space="preserve"> (Ebola Zaire, Ebola Sudan, Marburg and Lassa Fever)</w:t>
      </w:r>
      <w:r w:rsidR="00684966">
        <w:rPr>
          <w:rFonts w:ascii="Times New Roman" w:hAnsi="Times New Roman"/>
        </w:rPr>
        <w:t xml:space="preserve"> </w:t>
      </w:r>
      <w:r w:rsidR="00EB7808">
        <w:rPr>
          <w:rFonts w:ascii="Times New Roman" w:hAnsi="Times New Roman"/>
        </w:rPr>
        <w:t xml:space="preserve">and malaria </w:t>
      </w:r>
      <w:r w:rsidR="00684966">
        <w:rPr>
          <w:rFonts w:ascii="Times New Roman" w:hAnsi="Times New Roman"/>
        </w:rPr>
        <w:t>are at various stages of preclinical development.</w:t>
      </w:r>
    </w:p>
    <w:p w14:paraId="4B0F4CCA" w14:textId="3E0A2BC5" w:rsidR="00E377E4" w:rsidRDefault="00E377E4" w:rsidP="00177E79"/>
    <w:p w14:paraId="273E0B5F" w14:textId="05AF22A5" w:rsidR="00AD2EAC" w:rsidRPr="00AD2EAC" w:rsidRDefault="00AD2EAC" w:rsidP="00177E79">
      <w:pPr>
        <w:rPr>
          <w:b/>
          <w:bCs/>
        </w:rPr>
      </w:pPr>
      <w:r w:rsidRPr="00AD2EAC">
        <w:rPr>
          <w:b/>
          <w:bCs/>
        </w:rPr>
        <w:t>Financial Overview</w:t>
      </w:r>
    </w:p>
    <w:p w14:paraId="2AD0D222" w14:textId="281A330D" w:rsidR="00AD2EAC" w:rsidRDefault="00AD2EAC" w:rsidP="00177E79"/>
    <w:p w14:paraId="10254541" w14:textId="1034CBA0" w:rsidR="00AD2EAC" w:rsidRPr="00D00C59" w:rsidRDefault="00AD2EAC" w:rsidP="00177E79">
      <w:pPr>
        <w:rPr>
          <w:i/>
          <w:iCs/>
        </w:rPr>
      </w:pPr>
      <w:r w:rsidRPr="00D00C59">
        <w:rPr>
          <w:i/>
          <w:iCs/>
        </w:rPr>
        <w:t>Revenues</w:t>
      </w:r>
    </w:p>
    <w:p w14:paraId="57A23B2F" w14:textId="77777777" w:rsidR="00AD2EAC" w:rsidRDefault="00AD2EAC" w:rsidP="00AD2EAC"/>
    <w:p w14:paraId="02C54075" w14:textId="1B704305" w:rsidR="00AD2EAC" w:rsidRDefault="00AD2EAC" w:rsidP="00177E79">
      <w:r w:rsidRPr="00687303">
        <w:t xml:space="preserve">We have not generated any revenues from </w:t>
      </w:r>
      <w:r w:rsidR="007F0E80">
        <w:t>product sales to date</w:t>
      </w:r>
      <w:r w:rsidRPr="00687303">
        <w:t>.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w:t>
      </w:r>
      <w:r w:rsidR="007F0E80">
        <w:t xml:space="preserve"> </w:t>
      </w:r>
      <w:r w:rsidR="00003129" w:rsidRPr="008B37AD">
        <w:t>Our grant revenues relate to grants and contracts from agencies of the U.S. government in support of our vaccine development activities.</w:t>
      </w:r>
      <w:r w:rsidR="00003129">
        <w:t xml:space="preserve"> </w:t>
      </w:r>
      <w:r w:rsidR="00003129" w:rsidRPr="00640BA0">
        <w:t>We record revenue associated with these grants as the related costs and expenses are incurred.</w:t>
      </w:r>
    </w:p>
    <w:p w14:paraId="5AE788C7" w14:textId="77777777" w:rsidR="00F41634" w:rsidRDefault="00F41634" w:rsidP="00177E79"/>
    <w:p w14:paraId="20330042" w14:textId="4D661747" w:rsidR="00AD2EAC" w:rsidRPr="00D00C59" w:rsidRDefault="00AD2EAC" w:rsidP="00177E79">
      <w:pPr>
        <w:rPr>
          <w:i/>
          <w:iCs/>
        </w:rPr>
      </w:pPr>
      <w:r w:rsidRPr="00D00C59">
        <w:rPr>
          <w:i/>
          <w:iCs/>
        </w:rPr>
        <w:t>Research and development expenses</w:t>
      </w:r>
    </w:p>
    <w:p w14:paraId="5C8D4106" w14:textId="77777777" w:rsidR="000C38A3" w:rsidRDefault="000C38A3" w:rsidP="00177E79"/>
    <w:p w14:paraId="449154D8" w14:textId="40871599" w:rsidR="0036720F" w:rsidRDefault="000C38A3" w:rsidP="0036720F">
      <w:r w:rsidRPr="000C38A3">
        <w:t xml:space="preserve">Since our inception, we have focused </w:t>
      </w:r>
      <w:r w:rsidR="00D57A25">
        <w:t xml:space="preserve">and we continue to focus </w:t>
      </w:r>
      <w:r w:rsidRPr="000C38A3">
        <w:t xml:space="preserve">significant resources on our research and development activities, </w:t>
      </w:r>
      <w:r w:rsidR="00D57A25">
        <w:t xml:space="preserve">including developing our </w:t>
      </w:r>
      <w:r w:rsidR="005570D6">
        <w:t xml:space="preserve">vector </w:t>
      </w:r>
      <w:r w:rsidR="00D57A25">
        <w:t xml:space="preserve">platform and analytical testing methods, </w:t>
      </w:r>
      <w:r w:rsidRPr="000C38A3">
        <w:t>conducting preclinical studies, developing</w:t>
      </w:r>
      <w:r w:rsidR="00D57A25">
        <w:t xml:space="preserve"> </w:t>
      </w:r>
      <w:r w:rsidRPr="000C38A3">
        <w:t>manufacturing process</w:t>
      </w:r>
      <w:r w:rsidR="00D57A25">
        <w:t>es, and conducting clinical trials</w:t>
      </w:r>
      <w:r w:rsidRPr="000C38A3">
        <w:t>. Research and development costs are expensed as incurred</w:t>
      </w:r>
      <w:r w:rsidR="004D4562">
        <w:t xml:space="preserve"> and </w:t>
      </w:r>
      <w:r w:rsidR="0036720F" w:rsidRPr="001F4209">
        <w:t>consist primarily of the following:</w:t>
      </w:r>
    </w:p>
    <w:p w14:paraId="217D2F0B" w14:textId="556B1B5B" w:rsidR="00FE5B3F" w:rsidRDefault="00FE5B3F" w:rsidP="00564078">
      <w:pPr>
        <w:pStyle w:val="ListParagraph"/>
        <w:numPr>
          <w:ilvl w:val="0"/>
          <w:numId w:val="12"/>
        </w:numPr>
        <w:ind w:left="360"/>
      </w:pPr>
      <w:r>
        <w:t>personnel costs in our research, development and regulatory functions</w:t>
      </w:r>
      <w:r w:rsidRPr="001F4209">
        <w:t>, which include salaries, benefits and stock-based compensation</w:t>
      </w:r>
      <w:r w:rsidR="00564078">
        <w:t>;</w:t>
      </w:r>
    </w:p>
    <w:p w14:paraId="5AAA570E" w14:textId="09054EC0" w:rsidR="00FE5B3F" w:rsidRDefault="00FE5B3F" w:rsidP="00564078">
      <w:pPr>
        <w:pStyle w:val="ListParagraph"/>
        <w:numPr>
          <w:ilvl w:val="0"/>
          <w:numId w:val="12"/>
        </w:numPr>
        <w:ind w:left="360"/>
      </w:pPr>
      <w:r w:rsidRPr="001F4209">
        <w:t>expenses incurred under agreements with contract research organizations (“CROs”), that conduct clinical trials on our behalf</w:t>
      </w:r>
      <w:r w:rsidR="00564078">
        <w:t>;</w:t>
      </w:r>
    </w:p>
    <w:p w14:paraId="05D6687E" w14:textId="2BAAC350" w:rsidR="00FE5B3F" w:rsidRDefault="00FE5B3F" w:rsidP="00564078">
      <w:pPr>
        <w:pStyle w:val="ListParagraph"/>
        <w:numPr>
          <w:ilvl w:val="0"/>
          <w:numId w:val="12"/>
        </w:numPr>
        <w:ind w:left="360"/>
      </w:pPr>
      <w:r w:rsidRPr="001F4209">
        <w:t>expenses incurred under agreements with contract manufacturing organizations (“CMOs”), that manufacture product used in the clinical trials</w:t>
      </w:r>
      <w:r w:rsidR="00564078">
        <w:t>;</w:t>
      </w:r>
    </w:p>
    <w:p w14:paraId="1EE6E540" w14:textId="5113AA4E" w:rsidR="00FE5B3F" w:rsidRDefault="00FE5B3F" w:rsidP="00564078">
      <w:pPr>
        <w:pStyle w:val="ListParagraph"/>
        <w:numPr>
          <w:ilvl w:val="0"/>
          <w:numId w:val="12"/>
        </w:numPr>
        <w:ind w:left="360"/>
      </w:pPr>
      <w:r w:rsidRPr="001F4209">
        <w:t>expenses incurred in procuring materials and for analytical and release testing services required to produce vaccine candidates used in clinical trials</w:t>
      </w:r>
      <w:r w:rsidR="00564078">
        <w:t>;</w:t>
      </w:r>
    </w:p>
    <w:p w14:paraId="78A41248" w14:textId="4216B047" w:rsidR="00FE5B3F" w:rsidRDefault="00FE5B3F" w:rsidP="00564078">
      <w:pPr>
        <w:pStyle w:val="ListParagraph"/>
        <w:numPr>
          <w:ilvl w:val="0"/>
          <w:numId w:val="12"/>
        </w:numPr>
        <w:ind w:left="360"/>
      </w:pPr>
      <w:r w:rsidRPr="001F4209">
        <w:t>process development expenses incurred internally and externally to improve the efficiency and yield of the bulk vaccine;</w:t>
      </w:r>
    </w:p>
    <w:p w14:paraId="43CB741A" w14:textId="617C4FDA" w:rsidR="00FE5B3F" w:rsidRDefault="00FE5B3F" w:rsidP="00564078">
      <w:pPr>
        <w:pStyle w:val="ListParagraph"/>
        <w:numPr>
          <w:ilvl w:val="0"/>
          <w:numId w:val="12"/>
        </w:numPr>
        <w:ind w:left="360"/>
      </w:pPr>
      <w:r w:rsidRPr="001F4209">
        <w:t>laboratory supplies</w:t>
      </w:r>
      <w:r>
        <w:t xml:space="preserve">, </w:t>
      </w:r>
      <w:r w:rsidRPr="001F4209">
        <w:t>vendor expenses</w:t>
      </w:r>
      <w:r>
        <w:t xml:space="preserve"> and other third-party contract expenses</w:t>
      </w:r>
      <w:r w:rsidRPr="001F4209">
        <w:t xml:space="preserve"> related to preclinical research activities</w:t>
      </w:r>
      <w:r w:rsidR="00564078">
        <w:t>;</w:t>
      </w:r>
    </w:p>
    <w:p w14:paraId="791049A4" w14:textId="1602E1E8" w:rsidR="0016138B" w:rsidRDefault="0016138B" w:rsidP="00564078">
      <w:pPr>
        <w:pStyle w:val="ListParagraph"/>
        <w:numPr>
          <w:ilvl w:val="0"/>
          <w:numId w:val="12"/>
        </w:numPr>
        <w:ind w:left="360"/>
      </w:pPr>
      <w:r>
        <w:t>technology license fees;</w:t>
      </w:r>
    </w:p>
    <w:p w14:paraId="671762A1" w14:textId="364D62DD" w:rsidR="00FE5B3F" w:rsidRDefault="00FE5B3F" w:rsidP="00564078">
      <w:pPr>
        <w:pStyle w:val="ListParagraph"/>
        <w:numPr>
          <w:ilvl w:val="0"/>
          <w:numId w:val="12"/>
        </w:numPr>
        <w:ind w:left="360"/>
      </w:pPr>
      <w:r w:rsidRPr="001F4209">
        <w:t>consultant expenses for services supporting our clinical, regulatory and manufacturing activities; and</w:t>
      </w:r>
    </w:p>
    <w:p w14:paraId="51D69100" w14:textId="1AD0C77F" w:rsidR="00FE5B3F" w:rsidRDefault="00FE5B3F" w:rsidP="00564078">
      <w:pPr>
        <w:pStyle w:val="ListParagraph"/>
        <w:numPr>
          <w:ilvl w:val="0"/>
          <w:numId w:val="12"/>
        </w:numPr>
        <w:ind w:left="360"/>
      </w:pPr>
      <w:r w:rsidRPr="001F4209">
        <w:t xml:space="preserve">facilities, depreciation and </w:t>
      </w:r>
      <w:r>
        <w:t>other general</w:t>
      </w:r>
      <w:r w:rsidRPr="001F4209">
        <w:t xml:space="preserve"> overhead expenses</w:t>
      </w:r>
      <w:r w:rsidR="00564078">
        <w:t>.</w:t>
      </w:r>
    </w:p>
    <w:p w14:paraId="30EEB3A4" w14:textId="77777777" w:rsidR="00FE5B3F" w:rsidRDefault="00FE5B3F" w:rsidP="0036720F"/>
    <w:p w14:paraId="587EAE3A" w14:textId="630058DD" w:rsidR="000C38A3" w:rsidRDefault="00564078" w:rsidP="000C38A3">
      <w:r>
        <w:lastRenderedPageBreak/>
        <w:t>We track our external</w:t>
      </w:r>
      <w:r w:rsidR="000C38A3" w:rsidRPr="000C38A3">
        <w:t xml:space="preserve"> research and development costs on a program-by-program basis. We do not track our internal research and development expenses on a program-by-program basis as they primarily relate to shared costs deployed across multiple projects under development.</w:t>
      </w:r>
    </w:p>
    <w:p w14:paraId="3CFD4FDE" w14:textId="77777777" w:rsidR="0036720F" w:rsidRPr="000C38A3" w:rsidRDefault="0036720F" w:rsidP="000C38A3"/>
    <w:p w14:paraId="0EEEBDD7" w14:textId="2B23CAA4" w:rsidR="000C38A3" w:rsidRDefault="005F3175" w:rsidP="000C38A3">
      <w:r w:rsidRPr="0009354D">
        <w:t>Our research and development expenses can fluctuate considerably on a period-to-period basis</w:t>
      </w:r>
      <w:r w:rsidR="00BC27AA">
        <w:t xml:space="preserve">. </w:t>
      </w:r>
      <w:r w:rsidR="000C38A3" w:rsidRPr="000C38A3">
        <w:t>We expect our research and development expenses to increase substantially in the future as we advance our existing and future product candidates into and through clinical trials and pursue regulatory approval. The process of conducting the necessary clinical studies to obtain regulatory approval is costly and time-consuming. Clinical trials generally become larger and more costly to conduct as they advance into later stages.</w:t>
      </w:r>
    </w:p>
    <w:p w14:paraId="27DE58DD" w14:textId="77777777" w:rsidR="0036720F" w:rsidRPr="000C38A3" w:rsidRDefault="0036720F" w:rsidP="000C38A3"/>
    <w:p w14:paraId="0058F0DA" w14:textId="42004166" w:rsidR="00AD2EAC" w:rsidRDefault="000C38A3" w:rsidP="00177E79">
      <w:r w:rsidRPr="000C38A3">
        <w:t>At this time, we cannot reasonably estimate or know the nature, timing and estimated costs of the efforts that will be necessary to complete the development of any product candidates that we develop from our programs. We are also unable to predict when, if ever, material net cash inflows will commence from sales of product candidates we develop, if at all. This is due to the numerous risks and uncertainties associated with developing product candidates</w:t>
      </w:r>
      <w:r w:rsidR="0036720F">
        <w:t>.</w:t>
      </w:r>
    </w:p>
    <w:p w14:paraId="37B0D61B" w14:textId="77777777" w:rsidR="00AD2EAC" w:rsidRDefault="00AD2EAC" w:rsidP="00177E79"/>
    <w:p w14:paraId="1A76CE54" w14:textId="3DACB629" w:rsidR="00AD2EAC" w:rsidRPr="00D00C59" w:rsidRDefault="00AD2EAC" w:rsidP="00177E79">
      <w:pPr>
        <w:rPr>
          <w:i/>
          <w:iCs/>
        </w:rPr>
      </w:pPr>
      <w:r w:rsidRPr="00D00C59">
        <w:rPr>
          <w:i/>
          <w:iCs/>
        </w:rPr>
        <w:t>General and administrative e</w:t>
      </w:r>
      <w:r w:rsidR="000C38A3" w:rsidRPr="00D00C59">
        <w:rPr>
          <w:i/>
          <w:iCs/>
        </w:rPr>
        <w:t>x</w:t>
      </w:r>
      <w:r w:rsidRPr="00D00C59">
        <w:rPr>
          <w:i/>
          <w:iCs/>
        </w:rPr>
        <w:t>penses</w:t>
      </w:r>
    </w:p>
    <w:p w14:paraId="0C6D2B88" w14:textId="16128BF9" w:rsidR="00AD2EAC" w:rsidRDefault="00AD2EAC" w:rsidP="00177E79"/>
    <w:p w14:paraId="464708B9" w14:textId="07A14146" w:rsidR="00AD2EAC" w:rsidRDefault="000C38A3" w:rsidP="00177E79">
      <w:r w:rsidRPr="000C38A3">
        <w:t>Our general and administrative expenses consist primarily of personnel costs in our executive, finance and investor relations, business development and administrative functions</w:t>
      </w:r>
      <w:r w:rsidR="00D00C59">
        <w:t>, including stock-based compensation</w:t>
      </w:r>
      <w:r w:rsidRPr="000C38A3">
        <w:t>. Other general and administrative expenses include consulting fees</w:t>
      </w:r>
      <w:r w:rsidR="00D00C59">
        <w:t xml:space="preserve">, </w:t>
      </w:r>
      <w:r w:rsidRPr="000C38A3">
        <w:t xml:space="preserve">professional service fees for </w:t>
      </w:r>
      <w:r w:rsidR="00BE5EE1">
        <w:t>accounting and</w:t>
      </w:r>
      <w:r w:rsidRPr="000C38A3">
        <w:t xml:space="preserve"> legal services, lease expenses related to our offices, </w:t>
      </w:r>
      <w:r w:rsidR="00D00C59">
        <w:t xml:space="preserve">insurance </w:t>
      </w:r>
      <w:r w:rsidRPr="000C38A3">
        <w:t>premiums, intellectual property costs incurred in connection with filing and prosecuting patent applications, depreciation and other costs. We expect our general and administrative expenses to continue to increase in the future as we expand our operating activities and prepare for potential commercialization of our current and future product candidates, increase our headcount and investor relations activities and maintain compliance with requirements of Nasdaq and the Securities and Exchange Commission.</w:t>
      </w:r>
    </w:p>
    <w:p w14:paraId="49ABE958" w14:textId="77777777" w:rsidR="00A87862" w:rsidRDefault="00A87862" w:rsidP="00177E79"/>
    <w:p w14:paraId="1636DA1B" w14:textId="77777777" w:rsidR="00AD2EAC" w:rsidRPr="00D00C59" w:rsidRDefault="00AD2EAC" w:rsidP="00AD2EAC">
      <w:pPr>
        <w:rPr>
          <w:rFonts w:eastAsia="????"/>
          <w:bCs/>
          <w:i/>
          <w:iCs/>
        </w:rPr>
      </w:pPr>
      <w:r w:rsidRPr="00D00C59">
        <w:rPr>
          <w:rFonts w:eastAsia="????"/>
          <w:bCs/>
          <w:i/>
          <w:iCs/>
        </w:rPr>
        <w:t>Critical Accounting Policies and Estimates</w:t>
      </w:r>
    </w:p>
    <w:p w14:paraId="515A0DFB" w14:textId="77777777" w:rsidR="00AD2EAC" w:rsidRPr="0009354D" w:rsidRDefault="00AD2EAC" w:rsidP="00AD2EAC"/>
    <w:p w14:paraId="06D73DAA" w14:textId="08B62C72" w:rsidR="00AD2EAC" w:rsidRPr="0009354D" w:rsidRDefault="00AD2EAC" w:rsidP="00AD2EAC">
      <w:r w:rsidRPr="0009354D">
        <w:t xml:space="preserve">This discussion and analysis of our financial condition and results of operations is based on our </w:t>
      </w:r>
      <w:r w:rsidR="004F6810">
        <w:t xml:space="preserve">condensed </w:t>
      </w:r>
      <w:r w:rsidRPr="0009354D">
        <w:t>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0A655051" w14:textId="77777777" w:rsidR="00AD2EAC" w:rsidRPr="0009354D" w:rsidRDefault="00AD2EAC" w:rsidP="00AD2EAC"/>
    <w:p w14:paraId="6BC6F7AF" w14:textId="77777777" w:rsidR="00AD2EAC" w:rsidRPr="0009354D" w:rsidRDefault="00AD2EAC" w:rsidP="00AD2EAC">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to Item 7 in Management’s Discussion and Analysis of Financial Condition and Results of Operations and Note 2 to our Consolidated Financial Statements contained in our Annual Report on Form 10-K for the year ended December 31, 202</w:t>
      </w:r>
      <w:r>
        <w:t>1</w:t>
      </w:r>
      <w:r w:rsidRPr="0009354D">
        <w:t>. There have been no significant changes to our critical accounting policies from those disclosed in our 202</w:t>
      </w:r>
      <w:r>
        <w:t>1</w:t>
      </w:r>
      <w:r w:rsidRPr="0009354D">
        <w:t xml:space="preserve"> Annual Report.</w:t>
      </w:r>
    </w:p>
    <w:p w14:paraId="4B18E09F" w14:textId="77777777" w:rsidR="00AD2EAC" w:rsidRPr="0009354D" w:rsidRDefault="00AD2EAC" w:rsidP="00AD2EAC">
      <w:pPr>
        <w:rPr>
          <w:rFonts w:eastAsia="????"/>
          <w:b/>
        </w:rPr>
      </w:pPr>
    </w:p>
    <w:p w14:paraId="146E0AE8" w14:textId="0AED52DF" w:rsidR="00AD2EAC" w:rsidRPr="0009354D" w:rsidRDefault="00AD2EAC" w:rsidP="00AD2EAC">
      <w:pPr>
        <w:rPr>
          <w:rFonts w:eastAsia="????"/>
          <w:b/>
        </w:rPr>
      </w:pPr>
      <w:r w:rsidRPr="0009354D">
        <w:rPr>
          <w:rFonts w:eastAsia="????"/>
        </w:rPr>
        <w:t>Information regarding recent accounting pronouncements is contained in Note</w:t>
      </w:r>
      <w:r>
        <w:rPr>
          <w:rFonts w:eastAsia="????"/>
        </w:rPr>
        <w:t xml:space="preserve"> 2</w:t>
      </w:r>
      <w:r w:rsidRPr="0009354D">
        <w:rPr>
          <w:rFonts w:eastAsia="????"/>
        </w:rPr>
        <w:t xml:space="preserve"> to the </w:t>
      </w:r>
      <w:bookmarkStart w:id="28" w:name="_Hlk108708228"/>
      <w:r w:rsidRPr="0009354D">
        <w:rPr>
          <w:rFonts w:eastAsia="????"/>
        </w:rPr>
        <w:t>condensed consolidated financial statements, included in this Quarterly Report</w:t>
      </w:r>
      <w:bookmarkEnd w:id="28"/>
      <w:r w:rsidRPr="0009354D">
        <w:rPr>
          <w:rFonts w:eastAsia="????"/>
        </w:rPr>
        <w:t>.</w:t>
      </w:r>
    </w:p>
    <w:p w14:paraId="56FE6470" w14:textId="3356EDC7" w:rsidR="00AD2EAC" w:rsidRDefault="00AD2EAC" w:rsidP="00177E79"/>
    <w:p w14:paraId="36D17C89" w14:textId="77777777" w:rsidR="0016138B" w:rsidRPr="00A87862" w:rsidRDefault="0016138B" w:rsidP="0016138B">
      <w:pPr>
        <w:rPr>
          <w:bCs/>
          <w:i/>
        </w:rPr>
      </w:pPr>
      <w:r w:rsidRPr="00A87862">
        <w:rPr>
          <w:bCs/>
          <w:i/>
        </w:rPr>
        <w:t>Off-Balance Sheet Arrangements</w:t>
      </w:r>
    </w:p>
    <w:p w14:paraId="1DA3624C" w14:textId="77777777" w:rsidR="0016138B" w:rsidRPr="00640BA0" w:rsidRDefault="0016138B" w:rsidP="0016138B"/>
    <w:p w14:paraId="1FFEBEE0" w14:textId="77777777" w:rsidR="0016138B" w:rsidRDefault="0016138B" w:rsidP="0016138B">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26F77DAF" w14:textId="77777777" w:rsidR="0016138B" w:rsidRDefault="0016138B" w:rsidP="00177E79"/>
    <w:p w14:paraId="49495D7E" w14:textId="77777777" w:rsidR="00AF68E1" w:rsidRDefault="00AF68E1">
      <w:pPr>
        <w:rPr>
          <w:rFonts w:eastAsia="????"/>
          <w:b/>
        </w:rPr>
      </w:pPr>
      <w:r>
        <w:rPr>
          <w:rFonts w:eastAsia="????"/>
          <w:b/>
        </w:rPr>
        <w:br w:type="page"/>
      </w:r>
    </w:p>
    <w:p w14:paraId="1FE83587" w14:textId="41A74686" w:rsidR="00177E79" w:rsidRPr="0009354D" w:rsidRDefault="00177E79" w:rsidP="00177E79">
      <w:pPr>
        <w:rPr>
          <w:rFonts w:eastAsia="????"/>
          <w:b/>
        </w:rPr>
      </w:pPr>
      <w:r w:rsidRPr="0009354D">
        <w:rPr>
          <w:rFonts w:eastAsia="????"/>
          <w:b/>
        </w:rPr>
        <w:lastRenderedPageBreak/>
        <w:t>Results of Operations</w:t>
      </w:r>
    </w:p>
    <w:p w14:paraId="2A5A41A7" w14:textId="77777777" w:rsidR="00177E79" w:rsidRPr="0009354D" w:rsidRDefault="00177E79" w:rsidP="00177E79">
      <w:pPr>
        <w:rPr>
          <w:i/>
          <w:iCs/>
        </w:rPr>
      </w:pPr>
    </w:p>
    <w:p w14:paraId="6BC9744A" w14:textId="7F789165" w:rsidR="006539B0" w:rsidRDefault="006539B0" w:rsidP="006539B0">
      <w:pPr>
        <w:tabs>
          <w:tab w:val="left" w:pos="1080"/>
          <w:tab w:val="left" w:pos="1260"/>
          <w:tab w:val="left" w:pos="2340"/>
          <w:tab w:val="right" w:pos="9180"/>
        </w:tabs>
        <w:ind w:right="36"/>
        <w:rPr>
          <w:bCs/>
        </w:rPr>
      </w:pPr>
      <w:r w:rsidRPr="0009354D">
        <w:rPr>
          <w:bCs/>
        </w:rPr>
        <w:t xml:space="preserve">The following tables summarize our results of operations for the </w:t>
      </w:r>
      <w:bookmarkStart w:id="29" w:name="_Hlk108530487"/>
      <w:r w:rsidRPr="0009354D">
        <w:rPr>
          <w:bCs/>
        </w:rPr>
        <w:t xml:space="preserve">three-month and </w:t>
      </w:r>
      <w:r w:rsidR="007B7F55">
        <w:rPr>
          <w:bCs/>
        </w:rPr>
        <w:t>nine</w:t>
      </w:r>
      <w:r w:rsidRPr="0009354D">
        <w:rPr>
          <w:bCs/>
        </w:rPr>
        <w:t xml:space="preserve">-month periods ended </w:t>
      </w:r>
      <w:r w:rsidR="007B7F55">
        <w:rPr>
          <w:bCs/>
        </w:rPr>
        <w:t>September</w:t>
      </w:r>
      <w:r w:rsidRPr="0009354D">
        <w:rPr>
          <w:bCs/>
        </w:rPr>
        <w:t xml:space="preserve"> 30, 202</w:t>
      </w:r>
      <w:r>
        <w:rPr>
          <w:bCs/>
        </w:rPr>
        <w:t>2</w:t>
      </w:r>
      <w:r w:rsidRPr="0009354D">
        <w:rPr>
          <w:bCs/>
        </w:rPr>
        <w:t xml:space="preserve"> and 202</w:t>
      </w:r>
      <w:r>
        <w:rPr>
          <w:bCs/>
        </w:rPr>
        <w:t>1</w:t>
      </w:r>
      <w:bookmarkEnd w:id="29"/>
      <w:r w:rsidRPr="0009354D">
        <w:rPr>
          <w:bCs/>
        </w:rPr>
        <w:t>:</w:t>
      </w: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7B7F55" w:rsidRPr="0009354D" w14:paraId="68A5A7EC" w14:textId="77777777" w:rsidTr="00E12A85">
        <w:tc>
          <w:tcPr>
            <w:tcW w:w="378" w:type="dxa"/>
          </w:tcPr>
          <w:p w14:paraId="7EB596E6" w14:textId="77777777" w:rsidR="007B7F55" w:rsidRPr="0009354D" w:rsidRDefault="007B7F55" w:rsidP="00E12A85">
            <w:pPr>
              <w:ind w:right="-360"/>
            </w:pPr>
            <w:bookmarkStart w:id="30" w:name="_Hlk77171369"/>
          </w:p>
        </w:tc>
        <w:tc>
          <w:tcPr>
            <w:tcW w:w="450" w:type="dxa"/>
          </w:tcPr>
          <w:p w14:paraId="176B038C" w14:textId="77777777" w:rsidR="007B7F55" w:rsidRPr="0009354D" w:rsidRDefault="007B7F55" w:rsidP="00E12A85">
            <w:pPr>
              <w:ind w:right="-360"/>
            </w:pPr>
          </w:p>
        </w:tc>
        <w:tc>
          <w:tcPr>
            <w:tcW w:w="450" w:type="dxa"/>
          </w:tcPr>
          <w:p w14:paraId="7F73CD6C" w14:textId="77777777" w:rsidR="007B7F55" w:rsidRPr="0009354D" w:rsidRDefault="007B7F55" w:rsidP="00E12A85">
            <w:pPr>
              <w:ind w:right="-360"/>
            </w:pPr>
          </w:p>
        </w:tc>
        <w:tc>
          <w:tcPr>
            <w:tcW w:w="2160" w:type="dxa"/>
          </w:tcPr>
          <w:p w14:paraId="189CB7F3" w14:textId="77777777" w:rsidR="007B7F55" w:rsidRPr="0009354D" w:rsidRDefault="007B7F55" w:rsidP="00E12A85">
            <w:pPr>
              <w:tabs>
                <w:tab w:val="right" w:pos="9180"/>
              </w:tabs>
              <w:ind w:right="-360"/>
            </w:pPr>
          </w:p>
        </w:tc>
        <w:tc>
          <w:tcPr>
            <w:tcW w:w="1152" w:type="dxa"/>
          </w:tcPr>
          <w:p w14:paraId="4F49A7BD" w14:textId="77777777" w:rsidR="007B7F55" w:rsidRPr="0009354D" w:rsidRDefault="007B7F55" w:rsidP="00E12A85">
            <w:pPr>
              <w:tabs>
                <w:tab w:val="right" w:pos="9180"/>
              </w:tabs>
              <w:ind w:right="-46"/>
              <w:jc w:val="center"/>
            </w:pPr>
          </w:p>
        </w:tc>
        <w:tc>
          <w:tcPr>
            <w:tcW w:w="3168" w:type="dxa"/>
            <w:gridSpan w:val="2"/>
            <w:tcBorders>
              <w:bottom w:val="single" w:sz="4" w:space="0" w:color="auto"/>
            </w:tcBorders>
          </w:tcPr>
          <w:p w14:paraId="57B4DBEB" w14:textId="77777777" w:rsidR="007B7F55" w:rsidRPr="0009354D" w:rsidRDefault="007B7F55" w:rsidP="00E12A85">
            <w:pPr>
              <w:tabs>
                <w:tab w:val="right" w:pos="9180"/>
              </w:tabs>
              <w:ind w:right="-18"/>
              <w:jc w:val="center"/>
            </w:pPr>
            <w:r w:rsidRPr="0009354D">
              <w:t xml:space="preserve">Three Months Ended </w:t>
            </w:r>
            <w:r>
              <w:t>September</w:t>
            </w:r>
            <w:r w:rsidRPr="0009354D">
              <w:t xml:space="preserve"> 30,</w:t>
            </w:r>
          </w:p>
        </w:tc>
        <w:tc>
          <w:tcPr>
            <w:tcW w:w="1530" w:type="dxa"/>
          </w:tcPr>
          <w:p w14:paraId="5065B38A" w14:textId="77777777" w:rsidR="007B7F55" w:rsidRPr="0009354D" w:rsidRDefault="007B7F55" w:rsidP="00E12A85">
            <w:pPr>
              <w:tabs>
                <w:tab w:val="right" w:pos="9180"/>
              </w:tabs>
              <w:ind w:right="-18"/>
              <w:jc w:val="center"/>
            </w:pPr>
          </w:p>
        </w:tc>
      </w:tr>
      <w:bookmarkEnd w:id="30"/>
      <w:tr w:rsidR="007B7F55" w:rsidRPr="0009354D" w14:paraId="0C8146C7" w14:textId="77777777" w:rsidTr="00E12A85">
        <w:tc>
          <w:tcPr>
            <w:tcW w:w="378" w:type="dxa"/>
          </w:tcPr>
          <w:p w14:paraId="3627ED10" w14:textId="77777777" w:rsidR="007B7F55" w:rsidRPr="0009354D" w:rsidRDefault="007B7F55" w:rsidP="00E12A85">
            <w:pPr>
              <w:ind w:right="-360"/>
            </w:pPr>
          </w:p>
        </w:tc>
        <w:tc>
          <w:tcPr>
            <w:tcW w:w="450" w:type="dxa"/>
          </w:tcPr>
          <w:p w14:paraId="34BE60F8" w14:textId="77777777" w:rsidR="007B7F55" w:rsidRPr="0009354D" w:rsidRDefault="007B7F55" w:rsidP="00E12A85">
            <w:pPr>
              <w:ind w:right="-360"/>
            </w:pPr>
          </w:p>
        </w:tc>
        <w:tc>
          <w:tcPr>
            <w:tcW w:w="450" w:type="dxa"/>
          </w:tcPr>
          <w:p w14:paraId="069AE1FD" w14:textId="77777777" w:rsidR="007B7F55" w:rsidRPr="0009354D" w:rsidRDefault="007B7F55" w:rsidP="00E12A85">
            <w:pPr>
              <w:ind w:right="-360"/>
            </w:pPr>
          </w:p>
        </w:tc>
        <w:tc>
          <w:tcPr>
            <w:tcW w:w="2160" w:type="dxa"/>
          </w:tcPr>
          <w:p w14:paraId="7EDC5CDB" w14:textId="77777777" w:rsidR="007B7F55" w:rsidRPr="0009354D" w:rsidRDefault="007B7F55" w:rsidP="00E12A85">
            <w:pPr>
              <w:tabs>
                <w:tab w:val="right" w:pos="9180"/>
              </w:tabs>
              <w:ind w:right="-360"/>
            </w:pPr>
          </w:p>
        </w:tc>
        <w:tc>
          <w:tcPr>
            <w:tcW w:w="1152" w:type="dxa"/>
          </w:tcPr>
          <w:p w14:paraId="66E3355E" w14:textId="77777777" w:rsidR="007B7F55" w:rsidRPr="0009354D" w:rsidRDefault="007B7F55" w:rsidP="00E12A85">
            <w:pPr>
              <w:tabs>
                <w:tab w:val="right" w:pos="9180"/>
              </w:tabs>
              <w:ind w:right="-46"/>
              <w:jc w:val="center"/>
            </w:pPr>
          </w:p>
        </w:tc>
        <w:tc>
          <w:tcPr>
            <w:tcW w:w="1530" w:type="dxa"/>
            <w:tcBorders>
              <w:bottom w:val="single" w:sz="4" w:space="0" w:color="auto"/>
            </w:tcBorders>
          </w:tcPr>
          <w:p w14:paraId="35834212" w14:textId="4828D759" w:rsidR="007B7F55" w:rsidRPr="0009354D" w:rsidRDefault="007B7F55" w:rsidP="00E12A85">
            <w:pPr>
              <w:tabs>
                <w:tab w:val="right" w:pos="9180"/>
              </w:tabs>
              <w:ind w:right="-46"/>
              <w:jc w:val="center"/>
            </w:pPr>
            <w:r w:rsidRPr="0009354D">
              <w:t>202</w:t>
            </w:r>
            <w:r>
              <w:t>2</w:t>
            </w:r>
          </w:p>
        </w:tc>
        <w:tc>
          <w:tcPr>
            <w:tcW w:w="1638" w:type="dxa"/>
            <w:tcBorders>
              <w:bottom w:val="single" w:sz="4" w:space="0" w:color="auto"/>
            </w:tcBorders>
          </w:tcPr>
          <w:p w14:paraId="078A8E19" w14:textId="694714A5" w:rsidR="007B7F55" w:rsidRPr="0009354D" w:rsidRDefault="007B7F55" w:rsidP="00E12A85">
            <w:pPr>
              <w:tabs>
                <w:tab w:val="right" w:pos="9180"/>
              </w:tabs>
              <w:ind w:right="-18"/>
              <w:jc w:val="center"/>
            </w:pPr>
            <w:r w:rsidRPr="0009354D">
              <w:t>202</w:t>
            </w:r>
            <w:r>
              <w:t>1</w:t>
            </w:r>
          </w:p>
        </w:tc>
        <w:tc>
          <w:tcPr>
            <w:tcW w:w="1530" w:type="dxa"/>
            <w:tcBorders>
              <w:bottom w:val="single" w:sz="4" w:space="0" w:color="auto"/>
            </w:tcBorders>
          </w:tcPr>
          <w:p w14:paraId="697A1B96" w14:textId="77777777" w:rsidR="007B7F55" w:rsidRPr="0009354D" w:rsidRDefault="007B7F55" w:rsidP="00E12A85">
            <w:pPr>
              <w:tabs>
                <w:tab w:val="right" w:pos="9180"/>
              </w:tabs>
              <w:ind w:right="-18"/>
              <w:jc w:val="center"/>
            </w:pPr>
            <w:r w:rsidRPr="0009354D">
              <w:t>Change</w:t>
            </w:r>
          </w:p>
        </w:tc>
      </w:tr>
      <w:tr w:rsidR="007B7F55" w:rsidRPr="0009354D" w14:paraId="51A4949B" w14:textId="77777777" w:rsidTr="00E12A85">
        <w:tc>
          <w:tcPr>
            <w:tcW w:w="3438" w:type="dxa"/>
            <w:gridSpan w:val="4"/>
          </w:tcPr>
          <w:p w14:paraId="5684E861" w14:textId="5DF359E3" w:rsidR="007B7F55" w:rsidRPr="0009354D" w:rsidRDefault="007B7F55" w:rsidP="00E12A85">
            <w:pPr>
              <w:tabs>
                <w:tab w:val="right" w:pos="9180"/>
              </w:tabs>
              <w:ind w:right="-360"/>
            </w:pPr>
            <w:r w:rsidRPr="0009354D">
              <w:t>Grant revenue</w:t>
            </w:r>
          </w:p>
        </w:tc>
        <w:tc>
          <w:tcPr>
            <w:tcW w:w="1152" w:type="dxa"/>
          </w:tcPr>
          <w:p w14:paraId="43D3B1E5" w14:textId="77777777" w:rsidR="007B7F55" w:rsidRPr="0009354D" w:rsidRDefault="007B7F55" w:rsidP="00E12A85">
            <w:pPr>
              <w:tabs>
                <w:tab w:val="decimal" w:pos="1062"/>
                <w:tab w:val="right" w:pos="9180"/>
              </w:tabs>
              <w:ind w:right="-46"/>
            </w:pPr>
          </w:p>
        </w:tc>
        <w:tc>
          <w:tcPr>
            <w:tcW w:w="1530" w:type="dxa"/>
            <w:tcBorders>
              <w:top w:val="single" w:sz="4" w:space="0" w:color="auto"/>
            </w:tcBorders>
          </w:tcPr>
          <w:p w14:paraId="2B5C842C" w14:textId="3E2840FB" w:rsidR="007B7F55" w:rsidRPr="0009354D" w:rsidRDefault="007B7F55" w:rsidP="00E12A85">
            <w:pPr>
              <w:tabs>
                <w:tab w:val="decimal" w:pos="1062"/>
                <w:tab w:val="right" w:pos="9180"/>
              </w:tabs>
              <w:ind w:right="-46"/>
            </w:pPr>
            <w:r w:rsidRPr="0009354D">
              <w:t>$</w:t>
            </w:r>
            <w:r w:rsidRPr="0009354D">
              <w:tab/>
            </w:r>
            <w:r w:rsidR="000127CB">
              <w:t>-</w:t>
            </w:r>
          </w:p>
        </w:tc>
        <w:tc>
          <w:tcPr>
            <w:tcW w:w="1638" w:type="dxa"/>
          </w:tcPr>
          <w:p w14:paraId="174747A1" w14:textId="2E54B1C2" w:rsidR="007B7F55" w:rsidRPr="0009354D" w:rsidRDefault="007B7F55" w:rsidP="00E12A85">
            <w:pPr>
              <w:tabs>
                <w:tab w:val="decimal" w:pos="1062"/>
                <w:tab w:val="right" w:pos="9180"/>
              </w:tabs>
              <w:ind w:right="-18"/>
            </w:pPr>
            <w:r w:rsidRPr="0009354D">
              <w:t>$</w:t>
            </w:r>
            <w:r w:rsidRPr="0009354D">
              <w:tab/>
            </w:r>
            <w:r>
              <w:t>30,414</w:t>
            </w:r>
          </w:p>
        </w:tc>
        <w:tc>
          <w:tcPr>
            <w:tcW w:w="1530" w:type="dxa"/>
          </w:tcPr>
          <w:p w14:paraId="2493B572" w14:textId="3E29EDF5" w:rsidR="007B7F55" w:rsidRPr="0009354D" w:rsidRDefault="007B7F55" w:rsidP="00E12A85">
            <w:pPr>
              <w:tabs>
                <w:tab w:val="decimal" w:pos="1152"/>
                <w:tab w:val="right" w:pos="9180"/>
              </w:tabs>
              <w:ind w:right="-18"/>
            </w:pPr>
            <w:r w:rsidRPr="0009354D">
              <w:t>$</w:t>
            </w:r>
            <w:r w:rsidRPr="0009354D">
              <w:tab/>
            </w:r>
            <w:r w:rsidR="000C44C8">
              <w:t>(30,414)</w:t>
            </w:r>
          </w:p>
        </w:tc>
      </w:tr>
      <w:tr w:rsidR="007B7F55" w:rsidRPr="0009354D" w14:paraId="68F91599" w14:textId="77777777" w:rsidTr="00E12A85">
        <w:tc>
          <w:tcPr>
            <w:tcW w:w="3438" w:type="dxa"/>
            <w:gridSpan w:val="4"/>
          </w:tcPr>
          <w:p w14:paraId="31E5CF02" w14:textId="77777777" w:rsidR="007B7F55" w:rsidRPr="0009354D" w:rsidRDefault="007B7F55" w:rsidP="00E12A85">
            <w:pPr>
              <w:tabs>
                <w:tab w:val="right" w:pos="9180"/>
              </w:tabs>
              <w:ind w:right="-360"/>
            </w:pPr>
            <w:r w:rsidRPr="0009354D">
              <w:t>Operating expenses:</w:t>
            </w:r>
          </w:p>
        </w:tc>
        <w:tc>
          <w:tcPr>
            <w:tcW w:w="1152" w:type="dxa"/>
          </w:tcPr>
          <w:p w14:paraId="58434B41" w14:textId="77777777" w:rsidR="007B7F55" w:rsidRPr="0009354D" w:rsidRDefault="007B7F55" w:rsidP="00E12A85">
            <w:pPr>
              <w:tabs>
                <w:tab w:val="right" w:pos="9180"/>
              </w:tabs>
              <w:ind w:right="-46"/>
            </w:pPr>
          </w:p>
        </w:tc>
        <w:tc>
          <w:tcPr>
            <w:tcW w:w="1530" w:type="dxa"/>
          </w:tcPr>
          <w:p w14:paraId="28AADA0D" w14:textId="77777777" w:rsidR="007B7F55" w:rsidRPr="0009354D" w:rsidRDefault="007B7F55" w:rsidP="00E12A85">
            <w:pPr>
              <w:tabs>
                <w:tab w:val="right" w:pos="9180"/>
              </w:tabs>
              <w:ind w:right="-46"/>
            </w:pPr>
          </w:p>
        </w:tc>
        <w:tc>
          <w:tcPr>
            <w:tcW w:w="1638" w:type="dxa"/>
          </w:tcPr>
          <w:p w14:paraId="3D7BEB9B" w14:textId="77777777" w:rsidR="007B7F55" w:rsidRPr="0009354D" w:rsidRDefault="007B7F55" w:rsidP="00E12A85">
            <w:pPr>
              <w:tabs>
                <w:tab w:val="right" w:pos="9180"/>
              </w:tabs>
              <w:ind w:right="-18"/>
            </w:pPr>
          </w:p>
        </w:tc>
        <w:tc>
          <w:tcPr>
            <w:tcW w:w="1530" w:type="dxa"/>
          </w:tcPr>
          <w:p w14:paraId="560A6CB4" w14:textId="77777777" w:rsidR="007B7F55" w:rsidRPr="0009354D" w:rsidRDefault="007B7F55" w:rsidP="00E12A85">
            <w:pPr>
              <w:tabs>
                <w:tab w:val="right" w:pos="9180"/>
              </w:tabs>
              <w:ind w:right="-18"/>
            </w:pPr>
          </w:p>
        </w:tc>
      </w:tr>
      <w:tr w:rsidR="007B7F55" w:rsidRPr="0009354D" w14:paraId="4EC60CB5" w14:textId="77777777" w:rsidTr="00E12A85">
        <w:tc>
          <w:tcPr>
            <w:tcW w:w="378" w:type="dxa"/>
          </w:tcPr>
          <w:p w14:paraId="36BE711D" w14:textId="77777777" w:rsidR="007B7F55" w:rsidRPr="0009354D" w:rsidRDefault="007B7F55" w:rsidP="00E12A85">
            <w:pPr>
              <w:ind w:right="-360"/>
            </w:pPr>
          </w:p>
        </w:tc>
        <w:tc>
          <w:tcPr>
            <w:tcW w:w="3060" w:type="dxa"/>
            <w:gridSpan w:val="3"/>
          </w:tcPr>
          <w:p w14:paraId="430639E8" w14:textId="77777777" w:rsidR="007B7F55" w:rsidRPr="0009354D" w:rsidRDefault="007B7F55" w:rsidP="00E12A85">
            <w:pPr>
              <w:tabs>
                <w:tab w:val="right" w:pos="9180"/>
              </w:tabs>
              <w:ind w:right="-360"/>
            </w:pPr>
            <w:r w:rsidRPr="0009354D">
              <w:t>Research and development</w:t>
            </w:r>
          </w:p>
        </w:tc>
        <w:tc>
          <w:tcPr>
            <w:tcW w:w="1152" w:type="dxa"/>
          </w:tcPr>
          <w:p w14:paraId="60E840FC" w14:textId="77777777" w:rsidR="007B7F55" w:rsidRPr="0009354D" w:rsidRDefault="007B7F55" w:rsidP="00E12A85">
            <w:pPr>
              <w:tabs>
                <w:tab w:val="decimal" w:pos="1062"/>
                <w:tab w:val="right" w:pos="9180"/>
              </w:tabs>
              <w:ind w:right="-46"/>
            </w:pPr>
          </w:p>
        </w:tc>
        <w:tc>
          <w:tcPr>
            <w:tcW w:w="1530" w:type="dxa"/>
          </w:tcPr>
          <w:p w14:paraId="4911FD3B" w14:textId="314426DC" w:rsidR="007B7F55" w:rsidRPr="0009354D" w:rsidRDefault="007B7F55" w:rsidP="00E12A85">
            <w:pPr>
              <w:tabs>
                <w:tab w:val="decimal" w:pos="1062"/>
                <w:tab w:val="right" w:pos="9180"/>
              </w:tabs>
              <w:ind w:right="-46"/>
            </w:pPr>
            <w:r w:rsidRPr="0009354D">
              <w:tab/>
            </w:r>
            <w:r w:rsidR="000127CB">
              <w:t>2,721,196</w:t>
            </w:r>
          </w:p>
        </w:tc>
        <w:tc>
          <w:tcPr>
            <w:tcW w:w="1638" w:type="dxa"/>
          </w:tcPr>
          <w:p w14:paraId="522C99AC" w14:textId="07759239" w:rsidR="007B7F55" w:rsidRPr="0009354D" w:rsidRDefault="007B7F55" w:rsidP="00E12A85">
            <w:pPr>
              <w:tabs>
                <w:tab w:val="decimal" w:pos="1062"/>
                <w:tab w:val="right" w:pos="9180"/>
              </w:tabs>
              <w:ind w:right="-18"/>
            </w:pPr>
            <w:r w:rsidRPr="0009354D">
              <w:tab/>
            </w:r>
            <w:r>
              <w:t>1,224,362</w:t>
            </w:r>
          </w:p>
        </w:tc>
        <w:tc>
          <w:tcPr>
            <w:tcW w:w="1530" w:type="dxa"/>
          </w:tcPr>
          <w:p w14:paraId="14104224" w14:textId="6FE3562E" w:rsidR="007B7F55" w:rsidRPr="0009354D" w:rsidRDefault="007B7F55" w:rsidP="00E12A85">
            <w:pPr>
              <w:tabs>
                <w:tab w:val="decimal" w:pos="1152"/>
                <w:tab w:val="right" w:pos="9180"/>
              </w:tabs>
              <w:ind w:right="-18"/>
            </w:pPr>
            <w:r w:rsidRPr="0009354D">
              <w:tab/>
            </w:r>
            <w:r w:rsidR="000C44C8">
              <w:t>1,496,834</w:t>
            </w:r>
          </w:p>
        </w:tc>
      </w:tr>
      <w:tr w:rsidR="007B7F55" w:rsidRPr="0009354D" w14:paraId="1CBB7576" w14:textId="77777777" w:rsidTr="00E12A85">
        <w:tc>
          <w:tcPr>
            <w:tcW w:w="378" w:type="dxa"/>
          </w:tcPr>
          <w:p w14:paraId="1EE26D59" w14:textId="77777777" w:rsidR="007B7F55" w:rsidRPr="0009354D" w:rsidRDefault="007B7F55" w:rsidP="00E12A85">
            <w:pPr>
              <w:ind w:right="-360"/>
            </w:pPr>
          </w:p>
        </w:tc>
        <w:tc>
          <w:tcPr>
            <w:tcW w:w="3060" w:type="dxa"/>
            <w:gridSpan w:val="3"/>
          </w:tcPr>
          <w:p w14:paraId="6F89B0E4" w14:textId="77777777" w:rsidR="007B7F55" w:rsidRPr="0009354D" w:rsidRDefault="007B7F55" w:rsidP="00E12A85">
            <w:pPr>
              <w:tabs>
                <w:tab w:val="right" w:pos="9180"/>
              </w:tabs>
              <w:ind w:right="-360"/>
            </w:pPr>
            <w:r w:rsidRPr="0009354D">
              <w:t>General and administrative</w:t>
            </w:r>
          </w:p>
        </w:tc>
        <w:tc>
          <w:tcPr>
            <w:tcW w:w="1152" w:type="dxa"/>
          </w:tcPr>
          <w:p w14:paraId="10541890" w14:textId="77777777" w:rsidR="007B7F55" w:rsidRPr="0009354D" w:rsidRDefault="007B7F55" w:rsidP="00E12A85">
            <w:pPr>
              <w:tabs>
                <w:tab w:val="decimal" w:pos="1062"/>
                <w:tab w:val="right" w:pos="9180"/>
              </w:tabs>
              <w:ind w:right="-46"/>
            </w:pPr>
          </w:p>
        </w:tc>
        <w:tc>
          <w:tcPr>
            <w:tcW w:w="1530" w:type="dxa"/>
          </w:tcPr>
          <w:p w14:paraId="053EF800" w14:textId="3AD9ABF0" w:rsidR="007B7F55" w:rsidRPr="0009354D" w:rsidRDefault="007B7F55" w:rsidP="00E12A85">
            <w:pPr>
              <w:tabs>
                <w:tab w:val="decimal" w:pos="1062"/>
                <w:tab w:val="right" w:pos="9180"/>
              </w:tabs>
              <w:ind w:right="-46"/>
            </w:pPr>
            <w:r w:rsidRPr="0009354D">
              <w:tab/>
            </w:r>
            <w:r w:rsidR="000127CB">
              <w:t>1,2</w:t>
            </w:r>
            <w:r w:rsidR="00142598">
              <w:t>4</w:t>
            </w:r>
            <w:r w:rsidR="000127CB">
              <w:t>9,337</w:t>
            </w:r>
          </w:p>
        </w:tc>
        <w:tc>
          <w:tcPr>
            <w:tcW w:w="1638" w:type="dxa"/>
          </w:tcPr>
          <w:p w14:paraId="5BBCC781" w14:textId="2115EDDE" w:rsidR="007B7F55" w:rsidRPr="0009354D" w:rsidRDefault="007B7F55" w:rsidP="00E12A85">
            <w:pPr>
              <w:tabs>
                <w:tab w:val="decimal" w:pos="1062"/>
                <w:tab w:val="right" w:pos="9180"/>
              </w:tabs>
              <w:ind w:right="-18"/>
            </w:pPr>
            <w:r w:rsidRPr="0009354D">
              <w:tab/>
            </w:r>
            <w:r>
              <w:t>757,432</w:t>
            </w:r>
          </w:p>
        </w:tc>
        <w:tc>
          <w:tcPr>
            <w:tcW w:w="1530" w:type="dxa"/>
          </w:tcPr>
          <w:p w14:paraId="743E7FD8" w14:textId="4BA5D859" w:rsidR="007B7F55" w:rsidRPr="0009354D" w:rsidRDefault="007B7F55" w:rsidP="00E12A85">
            <w:pPr>
              <w:tabs>
                <w:tab w:val="decimal" w:pos="1152"/>
                <w:tab w:val="right" w:pos="9180"/>
              </w:tabs>
              <w:ind w:right="-18"/>
            </w:pPr>
            <w:r w:rsidRPr="0009354D">
              <w:tab/>
            </w:r>
            <w:r w:rsidR="000C44C8">
              <w:t>4</w:t>
            </w:r>
            <w:r w:rsidR="00142598">
              <w:t>9</w:t>
            </w:r>
            <w:r w:rsidR="000C44C8">
              <w:t>1,905</w:t>
            </w:r>
          </w:p>
        </w:tc>
      </w:tr>
      <w:tr w:rsidR="007B7F55" w:rsidRPr="0009354D" w14:paraId="63A418F0" w14:textId="77777777" w:rsidTr="00E12A85">
        <w:tc>
          <w:tcPr>
            <w:tcW w:w="3438" w:type="dxa"/>
            <w:gridSpan w:val="4"/>
          </w:tcPr>
          <w:p w14:paraId="5E95EA3C" w14:textId="77777777" w:rsidR="007B7F55" w:rsidRPr="0009354D" w:rsidRDefault="007B7F55" w:rsidP="00E12A85">
            <w:pPr>
              <w:tabs>
                <w:tab w:val="right" w:pos="9180"/>
              </w:tabs>
              <w:ind w:right="-360"/>
            </w:pPr>
            <w:r w:rsidRPr="0009354D">
              <w:t>Total operating expenses</w:t>
            </w:r>
          </w:p>
        </w:tc>
        <w:tc>
          <w:tcPr>
            <w:tcW w:w="1152" w:type="dxa"/>
          </w:tcPr>
          <w:p w14:paraId="3847ECBE" w14:textId="77777777" w:rsidR="007B7F55" w:rsidRPr="0009354D" w:rsidRDefault="007B7F55" w:rsidP="00E12A85">
            <w:pPr>
              <w:tabs>
                <w:tab w:val="decimal" w:pos="1062"/>
                <w:tab w:val="right" w:pos="9180"/>
              </w:tabs>
              <w:ind w:right="-46"/>
            </w:pPr>
          </w:p>
        </w:tc>
        <w:tc>
          <w:tcPr>
            <w:tcW w:w="1530" w:type="dxa"/>
            <w:tcBorders>
              <w:top w:val="single" w:sz="4" w:space="0" w:color="auto"/>
              <w:bottom w:val="single" w:sz="4" w:space="0" w:color="auto"/>
            </w:tcBorders>
          </w:tcPr>
          <w:p w14:paraId="3A5212E9" w14:textId="3469B715" w:rsidR="007B7F55" w:rsidRPr="0009354D" w:rsidRDefault="007B7F55" w:rsidP="00E12A85">
            <w:pPr>
              <w:tabs>
                <w:tab w:val="decimal" w:pos="1062"/>
                <w:tab w:val="right" w:pos="9180"/>
              </w:tabs>
              <w:ind w:right="-46"/>
            </w:pPr>
            <w:r w:rsidRPr="0009354D">
              <w:tab/>
            </w:r>
            <w:r w:rsidR="000127CB">
              <w:t>3,9</w:t>
            </w:r>
            <w:r w:rsidR="00142598">
              <w:t>7</w:t>
            </w:r>
            <w:r w:rsidR="000127CB">
              <w:t>0,533</w:t>
            </w:r>
          </w:p>
        </w:tc>
        <w:tc>
          <w:tcPr>
            <w:tcW w:w="1638" w:type="dxa"/>
            <w:tcBorders>
              <w:top w:val="single" w:sz="4" w:space="0" w:color="auto"/>
              <w:bottom w:val="single" w:sz="4" w:space="0" w:color="auto"/>
            </w:tcBorders>
          </w:tcPr>
          <w:p w14:paraId="79AC3EF8" w14:textId="3610BBAF" w:rsidR="007B7F55" w:rsidRPr="0009354D" w:rsidRDefault="007B7F55" w:rsidP="00E12A85">
            <w:pPr>
              <w:tabs>
                <w:tab w:val="decimal" w:pos="1062"/>
                <w:tab w:val="right" w:pos="9180"/>
              </w:tabs>
              <w:ind w:right="-18"/>
            </w:pPr>
            <w:r w:rsidRPr="0009354D">
              <w:tab/>
            </w:r>
            <w:r>
              <w:t>1,981,794</w:t>
            </w:r>
          </w:p>
        </w:tc>
        <w:tc>
          <w:tcPr>
            <w:tcW w:w="1530" w:type="dxa"/>
            <w:tcBorders>
              <w:top w:val="single" w:sz="4" w:space="0" w:color="auto"/>
              <w:bottom w:val="single" w:sz="4" w:space="0" w:color="auto"/>
            </w:tcBorders>
          </w:tcPr>
          <w:p w14:paraId="5FF8B77D" w14:textId="56A177EB" w:rsidR="007B7F55" w:rsidRPr="0009354D" w:rsidRDefault="007B7F55" w:rsidP="00E12A85">
            <w:pPr>
              <w:tabs>
                <w:tab w:val="decimal" w:pos="1152"/>
                <w:tab w:val="right" w:pos="9180"/>
              </w:tabs>
              <w:ind w:right="-18"/>
            </w:pPr>
            <w:r w:rsidRPr="0009354D">
              <w:tab/>
            </w:r>
            <w:r w:rsidR="000C44C8">
              <w:t>1,9</w:t>
            </w:r>
            <w:r w:rsidR="00142598">
              <w:t>8</w:t>
            </w:r>
            <w:r w:rsidR="000C44C8">
              <w:t>8,739</w:t>
            </w:r>
          </w:p>
        </w:tc>
      </w:tr>
      <w:tr w:rsidR="007B7F55" w:rsidRPr="0009354D" w14:paraId="6AB3B069" w14:textId="77777777" w:rsidTr="00E12A85">
        <w:tc>
          <w:tcPr>
            <w:tcW w:w="3438" w:type="dxa"/>
            <w:gridSpan w:val="4"/>
          </w:tcPr>
          <w:p w14:paraId="295DA9EC" w14:textId="77777777" w:rsidR="007B7F55" w:rsidRPr="0009354D" w:rsidRDefault="007B7F55" w:rsidP="00E12A85">
            <w:pPr>
              <w:tabs>
                <w:tab w:val="right" w:pos="9180"/>
              </w:tabs>
              <w:ind w:right="-360"/>
            </w:pPr>
            <w:r w:rsidRPr="0009354D">
              <w:t>Loss from operations</w:t>
            </w:r>
          </w:p>
        </w:tc>
        <w:tc>
          <w:tcPr>
            <w:tcW w:w="1152" w:type="dxa"/>
          </w:tcPr>
          <w:p w14:paraId="094C8A72" w14:textId="77777777" w:rsidR="007B7F55" w:rsidRPr="0009354D" w:rsidRDefault="007B7F55" w:rsidP="00E12A85">
            <w:pPr>
              <w:tabs>
                <w:tab w:val="decimal" w:pos="1062"/>
                <w:tab w:val="right" w:pos="9180"/>
              </w:tabs>
              <w:ind w:right="-46"/>
            </w:pPr>
          </w:p>
        </w:tc>
        <w:tc>
          <w:tcPr>
            <w:tcW w:w="1530" w:type="dxa"/>
          </w:tcPr>
          <w:p w14:paraId="5867E45F" w14:textId="0B8263AB" w:rsidR="007B7F55" w:rsidRPr="0009354D" w:rsidRDefault="007B7F55" w:rsidP="00E12A85">
            <w:pPr>
              <w:tabs>
                <w:tab w:val="decimal" w:pos="1062"/>
                <w:tab w:val="right" w:pos="9180"/>
              </w:tabs>
              <w:ind w:right="-46"/>
            </w:pPr>
            <w:r w:rsidRPr="0009354D">
              <w:tab/>
            </w:r>
            <w:r w:rsidR="000127CB">
              <w:t>(3,9</w:t>
            </w:r>
            <w:r w:rsidR="00142598">
              <w:t>7</w:t>
            </w:r>
            <w:r w:rsidR="000127CB">
              <w:t>0,533)</w:t>
            </w:r>
          </w:p>
        </w:tc>
        <w:tc>
          <w:tcPr>
            <w:tcW w:w="1638" w:type="dxa"/>
          </w:tcPr>
          <w:p w14:paraId="24B0E9C1" w14:textId="2207288C" w:rsidR="007B7F55" w:rsidRPr="0009354D" w:rsidRDefault="007B7F55" w:rsidP="00E12A85">
            <w:pPr>
              <w:tabs>
                <w:tab w:val="decimal" w:pos="1044"/>
                <w:tab w:val="right" w:pos="9180"/>
              </w:tabs>
              <w:ind w:right="-18"/>
            </w:pPr>
            <w:r w:rsidRPr="0009354D">
              <w:tab/>
              <w:t>(</w:t>
            </w:r>
            <w:r>
              <w:t>1,951,380</w:t>
            </w:r>
            <w:r w:rsidRPr="0009354D">
              <w:t>)</w:t>
            </w:r>
          </w:p>
        </w:tc>
        <w:tc>
          <w:tcPr>
            <w:tcW w:w="1530" w:type="dxa"/>
          </w:tcPr>
          <w:p w14:paraId="32045167" w14:textId="3C12F81F" w:rsidR="007B7F55" w:rsidRPr="0009354D" w:rsidRDefault="007B7F55" w:rsidP="00E12A85">
            <w:pPr>
              <w:tabs>
                <w:tab w:val="decimal" w:pos="1152"/>
                <w:tab w:val="right" w:pos="9180"/>
              </w:tabs>
              <w:ind w:right="-18"/>
            </w:pPr>
            <w:r w:rsidRPr="0009354D">
              <w:tab/>
            </w:r>
            <w:r w:rsidR="000C44C8">
              <w:t>(</w:t>
            </w:r>
            <w:r w:rsidR="00142598">
              <w:t>2,019</w:t>
            </w:r>
            <w:r w:rsidR="000C44C8">
              <w:t>,153)</w:t>
            </w:r>
          </w:p>
        </w:tc>
      </w:tr>
      <w:tr w:rsidR="007B7F55" w:rsidRPr="0009354D" w14:paraId="3FF9BC6D" w14:textId="77777777" w:rsidTr="00E12A85">
        <w:tc>
          <w:tcPr>
            <w:tcW w:w="3438" w:type="dxa"/>
            <w:gridSpan w:val="4"/>
          </w:tcPr>
          <w:p w14:paraId="0A839DBD" w14:textId="09CEA50D" w:rsidR="007B7F55" w:rsidRPr="0009354D" w:rsidRDefault="007B7F55" w:rsidP="00E12A85">
            <w:pPr>
              <w:tabs>
                <w:tab w:val="right" w:pos="9180"/>
              </w:tabs>
              <w:ind w:right="-360"/>
            </w:pPr>
            <w:r w:rsidRPr="0009354D">
              <w:t>Total other income (expense)</w:t>
            </w:r>
            <w:r>
              <w:t>, net</w:t>
            </w:r>
          </w:p>
        </w:tc>
        <w:tc>
          <w:tcPr>
            <w:tcW w:w="1152" w:type="dxa"/>
          </w:tcPr>
          <w:p w14:paraId="76471D38" w14:textId="77777777" w:rsidR="007B7F55" w:rsidRPr="0009354D" w:rsidRDefault="007B7F55" w:rsidP="00E12A85">
            <w:pPr>
              <w:tabs>
                <w:tab w:val="decimal" w:pos="1062"/>
                <w:tab w:val="right" w:pos="9180"/>
              </w:tabs>
              <w:ind w:right="-46"/>
            </w:pPr>
          </w:p>
        </w:tc>
        <w:tc>
          <w:tcPr>
            <w:tcW w:w="1530" w:type="dxa"/>
            <w:tcBorders>
              <w:bottom w:val="single" w:sz="4" w:space="0" w:color="auto"/>
            </w:tcBorders>
          </w:tcPr>
          <w:p w14:paraId="2138EB13" w14:textId="47B69CAE" w:rsidR="007B7F55" w:rsidRPr="0009354D" w:rsidRDefault="007B7F55" w:rsidP="00E12A85">
            <w:pPr>
              <w:tabs>
                <w:tab w:val="decimal" w:pos="1062"/>
                <w:tab w:val="right" w:pos="9180"/>
              </w:tabs>
              <w:ind w:right="-46"/>
            </w:pPr>
            <w:r w:rsidRPr="0009354D">
              <w:tab/>
            </w:r>
            <w:r w:rsidR="000127CB">
              <w:t>2,431</w:t>
            </w:r>
          </w:p>
        </w:tc>
        <w:tc>
          <w:tcPr>
            <w:tcW w:w="1638" w:type="dxa"/>
            <w:tcBorders>
              <w:bottom w:val="single" w:sz="4" w:space="0" w:color="auto"/>
            </w:tcBorders>
          </w:tcPr>
          <w:p w14:paraId="1F9F09F3" w14:textId="7872ECFE" w:rsidR="007B7F55" w:rsidRPr="0009354D" w:rsidRDefault="007B7F55" w:rsidP="00E12A85">
            <w:pPr>
              <w:tabs>
                <w:tab w:val="decimal" w:pos="1062"/>
                <w:tab w:val="right" w:pos="9180"/>
              </w:tabs>
              <w:ind w:right="-18"/>
            </w:pPr>
            <w:r w:rsidRPr="0009354D">
              <w:tab/>
            </w:r>
            <w:r>
              <w:t>877</w:t>
            </w:r>
          </w:p>
        </w:tc>
        <w:tc>
          <w:tcPr>
            <w:tcW w:w="1530" w:type="dxa"/>
            <w:tcBorders>
              <w:bottom w:val="single" w:sz="4" w:space="0" w:color="auto"/>
            </w:tcBorders>
          </w:tcPr>
          <w:p w14:paraId="334D8525" w14:textId="51DCBC65" w:rsidR="007B7F55" w:rsidRPr="0009354D" w:rsidRDefault="007B7F55" w:rsidP="00E12A85">
            <w:pPr>
              <w:tabs>
                <w:tab w:val="decimal" w:pos="1152"/>
                <w:tab w:val="right" w:pos="9180"/>
              </w:tabs>
              <w:ind w:right="-18"/>
            </w:pPr>
            <w:r w:rsidRPr="0009354D">
              <w:tab/>
            </w:r>
            <w:r w:rsidR="000C44C8">
              <w:t>1,554</w:t>
            </w:r>
          </w:p>
        </w:tc>
      </w:tr>
      <w:tr w:rsidR="007B7F55" w:rsidRPr="0009354D" w14:paraId="4F5DE1F1" w14:textId="77777777" w:rsidTr="00E12A85">
        <w:tc>
          <w:tcPr>
            <w:tcW w:w="3438" w:type="dxa"/>
            <w:gridSpan w:val="4"/>
          </w:tcPr>
          <w:p w14:paraId="6ABE6F39" w14:textId="77777777" w:rsidR="007B7F55" w:rsidRPr="0009354D" w:rsidRDefault="007B7F55" w:rsidP="00E12A85">
            <w:pPr>
              <w:tabs>
                <w:tab w:val="right" w:pos="9180"/>
              </w:tabs>
              <w:ind w:right="-360"/>
            </w:pPr>
            <w:r w:rsidRPr="0009354D">
              <w:t>Net loss</w:t>
            </w:r>
          </w:p>
        </w:tc>
        <w:tc>
          <w:tcPr>
            <w:tcW w:w="1152" w:type="dxa"/>
          </w:tcPr>
          <w:p w14:paraId="26BDBE71" w14:textId="77777777" w:rsidR="007B7F55" w:rsidRPr="0009354D" w:rsidRDefault="007B7F55" w:rsidP="00E12A85">
            <w:pPr>
              <w:tabs>
                <w:tab w:val="decimal" w:pos="1062"/>
                <w:tab w:val="right" w:pos="9180"/>
              </w:tabs>
              <w:ind w:right="-46"/>
            </w:pPr>
          </w:p>
        </w:tc>
        <w:tc>
          <w:tcPr>
            <w:tcW w:w="1530" w:type="dxa"/>
            <w:tcBorders>
              <w:bottom w:val="double" w:sz="4" w:space="0" w:color="auto"/>
            </w:tcBorders>
          </w:tcPr>
          <w:p w14:paraId="583FBBA2" w14:textId="3EC59348" w:rsidR="007B7F55" w:rsidRPr="0009354D" w:rsidRDefault="007B7F55" w:rsidP="00E12A85">
            <w:pPr>
              <w:tabs>
                <w:tab w:val="decimal" w:pos="1062"/>
                <w:tab w:val="right" w:pos="9180"/>
              </w:tabs>
              <w:ind w:right="-46"/>
            </w:pPr>
            <w:r w:rsidRPr="0009354D">
              <w:t>$</w:t>
            </w:r>
            <w:r w:rsidRPr="0009354D">
              <w:tab/>
            </w:r>
            <w:r w:rsidR="000127CB">
              <w:t>(3,9</w:t>
            </w:r>
            <w:r w:rsidR="00142598">
              <w:t>6</w:t>
            </w:r>
            <w:r w:rsidR="000127CB">
              <w:t>8,102)</w:t>
            </w:r>
          </w:p>
        </w:tc>
        <w:tc>
          <w:tcPr>
            <w:tcW w:w="1638" w:type="dxa"/>
            <w:tcBorders>
              <w:top w:val="single" w:sz="4" w:space="0" w:color="auto"/>
              <w:bottom w:val="double" w:sz="4" w:space="0" w:color="auto"/>
            </w:tcBorders>
          </w:tcPr>
          <w:p w14:paraId="200E13BD" w14:textId="2973E3B5" w:rsidR="007B7F55" w:rsidRPr="0009354D" w:rsidRDefault="007B7F55" w:rsidP="00E12A85">
            <w:pPr>
              <w:tabs>
                <w:tab w:val="decimal" w:pos="1044"/>
                <w:tab w:val="right" w:pos="9180"/>
              </w:tabs>
              <w:ind w:right="-18"/>
            </w:pPr>
            <w:r w:rsidRPr="0009354D">
              <w:t>$</w:t>
            </w:r>
            <w:r w:rsidRPr="0009354D">
              <w:tab/>
              <w:t>(</w:t>
            </w:r>
            <w:r>
              <w:t>1,950,503)</w:t>
            </w:r>
          </w:p>
        </w:tc>
        <w:tc>
          <w:tcPr>
            <w:tcW w:w="1530" w:type="dxa"/>
            <w:tcBorders>
              <w:top w:val="single" w:sz="4" w:space="0" w:color="auto"/>
              <w:bottom w:val="double" w:sz="4" w:space="0" w:color="auto"/>
            </w:tcBorders>
          </w:tcPr>
          <w:p w14:paraId="571803FD" w14:textId="3CAFF8B7" w:rsidR="007B7F55" w:rsidRPr="0009354D" w:rsidRDefault="007B7F55" w:rsidP="00E12A85">
            <w:pPr>
              <w:tabs>
                <w:tab w:val="decimal" w:pos="1152"/>
                <w:tab w:val="right" w:pos="9180"/>
              </w:tabs>
              <w:ind w:right="-18"/>
            </w:pPr>
            <w:r w:rsidRPr="0009354D">
              <w:t>$</w:t>
            </w:r>
            <w:r w:rsidRPr="0009354D">
              <w:tab/>
            </w:r>
            <w:r w:rsidR="000C44C8">
              <w:t>(</w:t>
            </w:r>
            <w:r w:rsidR="00142598">
              <w:t>2,017</w:t>
            </w:r>
            <w:r w:rsidR="000C44C8">
              <w:t>,599)</w:t>
            </w:r>
          </w:p>
        </w:tc>
      </w:tr>
    </w:tbl>
    <w:p w14:paraId="5FB1BD01" w14:textId="77777777" w:rsidR="007B7F55" w:rsidRPr="0009354D" w:rsidRDefault="007B7F55" w:rsidP="007B7F55">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7B7F55" w:rsidRPr="0009354D" w14:paraId="5180D211" w14:textId="77777777" w:rsidTr="00E12A85">
        <w:tc>
          <w:tcPr>
            <w:tcW w:w="378" w:type="dxa"/>
          </w:tcPr>
          <w:p w14:paraId="40ACC321" w14:textId="77777777" w:rsidR="007B7F55" w:rsidRPr="0009354D" w:rsidRDefault="007B7F55" w:rsidP="00E12A85">
            <w:pPr>
              <w:ind w:right="-360"/>
            </w:pPr>
          </w:p>
        </w:tc>
        <w:tc>
          <w:tcPr>
            <w:tcW w:w="450" w:type="dxa"/>
          </w:tcPr>
          <w:p w14:paraId="3EC694D1" w14:textId="77777777" w:rsidR="007B7F55" w:rsidRPr="0009354D" w:rsidRDefault="007B7F55" w:rsidP="00E12A85">
            <w:pPr>
              <w:ind w:right="-360"/>
            </w:pPr>
          </w:p>
        </w:tc>
        <w:tc>
          <w:tcPr>
            <w:tcW w:w="450" w:type="dxa"/>
          </w:tcPr>
          <w:p w14:paraId="6347E8DF" w14:textId="77777777" w:rsidR="007B7F55" w:rsidRPr="0009354D" w:rsidRDefault="007B7F55" w:rsidP="00E12A85">
            <w:pPr>
              <w:ind w:right="-360"/>
            </w:pPr>
          </w:p>
        </w:tc>
        <w:tc>
          <w:tcPr>
            <w:tcW w:w="2160" w:type="dxa"/>
          </w:tcPr>
          <w:p w14:paraId="58BD8FC6" w14:textId="77777777" w:rsidR="007B7F55" w:rsidRPr="0009354D" w:rsidRDefault="007B7F55" w:rsidP="00E12A85">
            <w:pPr>
              <w:tabs>
                <w:tab w:val="right" w:pos="9180"/>
              </w:tabs>
              <w:ind w:right="-360"/>
            </w:pPr>
          </w:p>
        </w:tc>
        <w:tc>
          <w:tcPr>
            <w:tcW w:w="1152" w:type="dxa"/>
          </w:tcPr>
          <w:p w14:paraId="7B4173D2" w14:textId="77777777" w:rsidR="007B7F55" w:rsidRPr="0009354D" w:rsidRDefault="007B7F55" w:rsidP="00E12A85">
            <w:pPr>
              <w:tabs>
                <w:tab w:val="right" w:pos="9180"/>
              </w:tabs>
              <w:ind w:right="-46"/>
              <w:jc w:val="center"/>
            </w:pPr>
          </w:p>
        </w:tc>
        <w:tc>
          <w:tcPr>
            <w:tcW w:w="3168" w:type="dxa"/>
            <w:gridSpan w:val="2"/>
            <w:tcBorders>
              <w:bottom w:val="single" w:sz="4" w:space="0" w:color="auto"/>
            </w:tcBorders>
          </w:tcPr>
          <w:p w14:paraId="190537C7" w14:textId="77777777" w:rsidR="007B7F55" w:rsidRPr="0009354D" w:rsidRDefault="007B7F55" w:rsidP="00E12A85">
            <w:pPr>
              <w:tabs>
                <w:tab w:val="right" w:pos="9180"/>
              </w:tabs>
              <w:ind w:right="-18"/>
              <w:jc w:val="center"/>
            </w:pPr>
            <w:r>
              <w:t>Nine</w:t>
            </w:r>
            <w:r w:rsidRPr="0009354D">
              <w:t xml:space="preserve"> Months Ended </w:t>
            </w:r>
            <w:r>
              <w:t>September</w:t>
            </w:r>
            <w:r w:rsidRPr="0009354D">
              <w:t xml:space="preserve"> 30,</w:t>
            </w:r>
          </w:p>
        </w:tc>
        <w:tc>
          <w:tcPr>
            <w:tcW w:w="1530" w:type="dxa"/>
          </w:tcPr>
          <w:p w14:paraId="783983C3" w14:textId="77777777" w:rsidR="007B7F55" w:rsidRPr="0009354D" w:rsidRDefault="007B7F55" w:rsidP="00E12A85">
            <w:pPr>
              <w:tabs>
                <w:tab w:val="right" w:pos="9180"/>
              </w:tabs>
              <w:ind w:right="-18"/>
              <w:jc w:val="center"/>
            </w:pPr>
          </w:p>
        </w:tc>
      </w:tr>
      <w:tr w:rsidR="007B7F55" w:rsidRPr="0009354D" w14:paraId="22921176" w14:textId="77777777" w:rsidTr="00E12A85">
        <w:tc>
          <w:tcPr>
            <w:tcW w:w="378" w:type="dxa"/>
          </w:tcPr>
          <w:p w14:paraId="5607A453" w14:textId="77777777" w:rsidR="007B7F55" w:rsidRPr="0009354D" w:rsidRDefault="007B7F55" w:rsidP="00E12A85">
            <w:pPr>
              <w:ind w:right="-360"/>
            </w:pPr>
          </w:p>
        </w:tc>
        <w:tc>
          <w:tcPr>
            <w:tcW w:w="450" w:type="dxa"/>
          </w:tcPr>
          <w:p w14:paraId="7E37EF4C" w14:textId="77777777" w:rsidR="007B7F55" w:rsidRPr="0009354D" w:rsidRDefault="007B7F55" w:rsidP="00E12A85">
            <w:pPr>
              <w:ind w:right="-360"/>
            </w:pPr>
          </w:p>
        </w:tc>
        <w:tc>
          <w:tcPr>
            <w:tcW w:w="450" w:type="dxa"/>
          </w:tcPr>
          <w:p w14:paraId="42E42D12" w14:textId="77777777" w:rsidR="007B7F55" w:rsidRPr="0009354D" w:rsidRDefault="007B7F55" w:rsidP="00E12A85">
            <w:pPr>
              <w:ind w:right="-360"/>
            </w:pPr>
          </w:p>
        </w:tc>
        <w:tc>
          <w:tcPr>
            <w:tcW w:w="2160" w:type="dxa"/>
          </w:tcPr>
          <w:p w14:paraId="46A1EC1F" w14:textId="77777777" w:rsidR="007B7F55" w:rsidRPr="0009354D" w:rsidRDefault="007B7F55" w:rsidP="00E12A85">
            <w:pPr>
              <w:tabs>
                <w:tab w:val="right" w:pos="9180"/>
              </w:tabs>
              <w:ind w:right="-360"/>
            </w:pPr>
          </w:p>
        </w:tc>
        <w:tc>
          <w:tcPr>
            <w:tcW w:w="1152" w:type="dxa"/>
          </w:tcPr>
          <w:p w14:paraId="4CEC4045" w14:textId="77777777" w:rsidR="007B7F55" w:rsidRPr="0009354D" w:rsidRDefault="007B7F55" w:rsidP="00E12A85">
            <w:pPr>
              <w:tabs>
                <w:tab w:val="right" w:pos="9180"/>
              </w:tabs>
              <w:ind w:right="-46"/>
              <w:jc w:val="center"/>
            </w:pPr>
          </w:p>
        </w:tc>
        <w:tc>
          <w:tcPr>
            <w:tcW w:w="1620" w:type="dxa"/>
            <w:tcBorders>
              <w:bottom w:val="single" w:sz="4" w:space="0" w:color="auto"/>
            </w:tcBorders>
          </w:tcPr>
          <w:p w14:paraId="1E6A7D32" w14:textId="7196AF4A" w:rsidR="007B7F55" w:rsidRPr="0009354D" w:rsidRDefault="007B7F55" w:rsidP="00E12A85">
            <w:pPr>
              <w:tabs>
                <w:tab w:val="right" w:pos="9180"/>
              </w:tabs>
              <w:ind w:right="-46"/>
              <w:jc w:val="center"/>
            </w:pPr>
            <w:r w:rsidRPr="0009354D">
              <w:t>202</w:t>
            </w:r>
            <w:r>
              <w:t>2</w:t>
            </w:r>
          </w:p>
        </w:tc>
        <w:tc>
          <w:tcPr>
            <w:tcW w:w="1548" w:type="dxa"/>
            <w:tcBorders>
              <w:bottom w:val="single" w:sz="4" w:space="0" w:color="auto"/>
            </w:tcBorders>
          </w:tcPr>
          <w:p w14:paraId="7651B0BE" w14:textId="0D0179FD" w:rsidR="007B7F55" w:rsidRPr="0009354D" w:rsidRDefault="007B7F55" w:rsidP="00E12A85">
            <w:pPr>
              <w:tabs>
                <w:tab w:val="right" w:pos="9180"/>
              </w:tabs>
              <w:ind w:right="-18"/>
              <w:jc w:val="center"/>
            </w:pPr>
            <w:r w:rsidRPr="0009354D">
              <w:t>202</w:t>
            </w:r>
            <w:r>
              <w:t>1</w:t>
            </w:r>
          </w:p>
        </w:tc>
        <w:tc>
          <w:tcPr>
            <w:tcW w:w="1530" w:type="dxa"/>
            <w:tcBorders>
              <w:bottom w:val="single" w:sz="4" w:space="0" w:color="auto"/>
            </w:tcBorders>
          </w:tcPr>
          <w:p w14:paraId="36F6511A" w14:textId="77777777" w:rsidR="007B7F55" w:rsidRPr="0009354D" w:rsidRDefault="007B7F55" w:rsidP="00E12A85">
            <w:pPr>
              <w:tabs>
                <w:tab w:val="right" w:pos="9180"/>
              </w:tabs>
              <w:ind w:right="-18"/>
              <w:jc w:val="center"/>
            </w:pPr>
            <w:r w:rsidRPr="0009354D">
              <w:t>Change</w:t>
            </w:r>
          </w:p>
        </w:tc>
      </w:tr>
      <w:tr w:rsidR="007B7F55" w:rsidRPr="0009354D" w14:paraId="5EFCF414" w14:textId="77777777" w:rsidTr="00E12A85">
        <w:tc>
          <w:tcPr>
            <w:tcW w:w="3438" w:type="dxa"/>
            <w:gridSpan w:val="4"/>
          </w:tcPr>
          <w:p w14:paraId="58B4AC7D" w14:textId="3015CFD5" w:rsidR="007B7F55" w:rsidRPr="0009354D" w:rsidRDefault="007B7F55" w:rsidP="00E12A85">
            <w:pPr>
              <w:tabs>
                <w:tab w:val="right" w:pos="9180"/>
              </w:tabs>
              <w:ind w:right="-360"/>
            </w:pPr>
            <w:r w:rsidRPr="0009354D">
              <w:t>Grant revenue</w:t>
            </w:r>
          </w:p>
        </w:tc>
        <w:tc>
          <w:tcPr>
            <w:tcW w:w="1152" w:type="dxa"/>
          </w:tcPr>
          <w:p w14:paraId="264A2256" w14:textId="77777777" w:rsidR="007B7F55" w:rsidRPr="0009354D" w:rsidRDefault="007B7F55" w:rsidP="00E12A85">
            <w:pPr>
              <w:tabs>
                <w:tab w:val="decimal" w:pos="1062"/>
                <w:tab w:val="right" w:pos="9180"/>
              </w:tabs>
              <w:ind w:right="-46"/>
            </w:pPr>
          </w:p>
        </w:tc>
        <w:tc>
          <w:tcPr>
            <w:tcW w:w="1620" w:type="dxa"/>
            <w:tcBorders>
              <w:top w:val="single" w:sz="4" w:space="0" w:color="auto"/>
            </w:tcBorders>
          </w:tcPr>
          <w:p w14:paraId="0513F871" w14:textId="20153051" w:rsidR="007B7F55" w:rsidRPr="0009354D" w:rsidRDefault="007B7F55" w:rsidP="00E12A85">
            <w:pPr>
              <w:tabs>
                <w:tab w:val="decimal" w:pos="1062"/>
                <w:tab w:val="right" w:pos="9180"/>
              </w:tabs>
              <w:ind w:right="-46"/>
            </w:pPr>
            <w:r w:rsidRPr="0009354D">
              <w:t>$</w:t>
            </w:r>
            <w:r w:rsidRPr="0009354D">
              <w:tab/>
            </w:r>
            <w:r w:rsidR="000127CB">
              <w:t>81,526</w:t>
            </w:r>
          </w:p>
        </w:tc>
        <w:tc>
          <w:tcPr>
            <w:tcW w:w="1548" w:type="dxa"/>
          </w:tcPr>
          <w:p w14:paraId="6A2EA731" w14:textId="03B71622" w:rsidR="007B7F55" w:rsidRPr="0009354D" w:rsidRDefault="007B7F55" w:rsidP="00E12A85">
            <w:pPr>
              <w:tabs>
                <w:tab w:val="decimal" w:pos="1062"/>
                <w:tab w:val="right" w:pos="9180"/>
              </w:tabs>
              <w:ind w:right="-18"/>
            </w:pPr>
            <w:r w:rsidRPr="0009354D">
              <w:t>$</w:t>
            </w:r>
            <w:r w:rsidRPr="0009354D">
              <w:tab/>
            </w:r>
            <w:r>
              <w:t>220,539</w:t>
            </w:r>
          </w:p>
        </w:tc>
        <w:tc>
          <w:tcPr>
            <w:tcW w:w="1530" w:type="dxa"/>
          </w:tcPr>
          <w:p w14:paraId="1AD10015" w14:textId="03CE19F3" w:rsidR="007B7F55" w:rsidRPr="0009354D" w:rsidRDefault="007B7F55" w:rsidP="00E12A85">
            <w:pPr>
              <w:tabs>
                <w:tab w:val="decimal" w:pos="1152"/>
                <w:tab w:val="right" w:pos="9180"/>
              </w:tabs>
              <w:ind w:right="-18"/>
            </w:pPr>
            <w:r w:rsidRPr="0009354D">
              <w:t>$</w:t>
            </w:r>
            <w:r w:rsidRPr="0009354D">
              <w:tab/>
            </w:r>
            <w:r w:rsidR="000C44C8">
              <w:t>(139,013)</w:t>
            </w:r>
          </w:p>
        </w:tc>
      </w:tr>
      <w:tr w:rsidR="007B7F55" w:rsidRPr="0009354D" w14:paraId="471F63A3" w14:textId="77777777" w:rsidTr="00E12A85">
        <w:tc>
          <w:tcPr>
            <w:tcW w:w="3438" w:type="dxa"/>
            <w:gridSpan w:val="4"/>
          </w:tcPr>
          <w:p w14:paraId="292C83ED" w14:textId="77777777" w:rsidR="007B7F55" w:rsidRPr="0009354D" w:rsidRDefault="007B7F55" w:rsidP="00E12A85">
            <w:pPr>
              <w:tabs>
                <w:tab w:val="right" w:pos="9180"/>
              </w:tabs>
              <w:ind w:right="-360"/>
            </w:pPr>
            <w:r w:rsidRPr="0009354D">
              <w:t>Operating expenses:</w:t>
            </w:r>
          </w:p>
        </w:tc>
        <w:tc>
          <w:tcPr>
            <w:tcW w:w="1152" w:type="dxa"/>
          </w:tcPr>
          <w:p w14:paraId="2BCDDAB7" w14:textId="77777777" w:rsidR="007B7F55" w:rsidRPr="0009354D" w:rsidRDefault="007B7F55" w:rsidP="00E12A85">
            <w:pPr>
              <w:tabs>
                <w:tab w:val="right" w:pos="9180"/>
              </w:tabs>
              <w:ind w:right="-46"/>
            </w:pPr>
          </w:p>
        </w:tc>
        <w:tc>
          <w:tcPr>
            <w:tcW w:w="1620" w:type="dxa"/>
          </w:tcPr>
          <w:p w14:paraId="134C5A20" w14:textId="77777777" w:rsidR="007B7F55" w:rsidRPr="0009354D" w:rsidRDefault="007B7F55" w:rsidP="00E12A85">
            <w:pPr>
              <w:tabs>
                <w:tab w:val="right" w:pos="9180"/>
              </w:tabs>
              <w:ind w:right="-46"/>
            </w:pPr>
          </w:p>
        </w:tc>
        <w:tc>
          <w:tcPr>
            <w:tcW w:w="1548" w:type="dxa"/>
          </w:tcPr>
          <w:p w14:paraId="732A4794" w14:textId="77777777" w:rsidR="007B7F55" w:rsidRPr="0009354D" w:rsidRDefault="007B7F55" w:rsidP="00E12A85">
            <w:pPr>
              <w:tabs>
                <w:tab w:val="right" w:pos="9180"/>
              </w:tabs>
              <w:ind w:right="-18"/>
            </w:pPr>
          </w:p>
        </w:tc>
        <w:tc>
          <w:tcPr>
            <w:tcW w:w="1530" w:type="dxa"/>
          </w:tcPr>
          <w:p w14:paraId="3808DD52" w14:textId="77777777" w:rsidR="007B7F55" w:rsidRPr="0009354D" w:rsidRDefault="007B7F55" w:rsidP="00E12A85">
            <w:pPr>
              <w:tabs>
                <w:tab w:val="right" w:pos="9180"/>
              </w:tabs>
              <w:ind w:right="-18"/>
            </w:pPr>
          </w:p>
        </w:tc>
      </w:tr>
      <w:tr w:rsidR="007B7F55" w:rsidRPr="0009354D" w14:paraId="4C30B6D7" w14:textId="77777777" w:rsidTr="00E12A85">
        <w:tc>
          <w:tcPr>
            <w:tcW w:w="378" w:type="dxa"/>
          </w:tcPr>
          <w:p w14:paraId="1A3E3DAF" w14:textId="77777777" w:rsidR="007B7F55" w:rsidRPr="0009354D" w:rsidRDefault="007B7F55" w:rsidP="00E12A85">
            <w:pPr>
              <w:ind w:right="-360"/>
            </w:pPr>
          </w:p>
        </w:tc>
        <w:tc>
          <w:tcPr>
            <w:tcW w:w="3060" w:type="dxa"/>
            <w:gridSpan w:val="3"/>
          </w:tcPr>
          <w:p w14:paraId="60D11167" w14:textId="77777777" w:rsidR="007B7F55" w:rsidRPr="0009354D" w:rsidRDefault="007B7F55" w:rsidP="00E12A85">
            <w:pPr>
              <w:tabs>
                <w:tab w:val="right" w:pos="9180"/>
              </w:tabs>
              <w:ind w:right="-360"/>
            </w:pPr>
            <w:r w:rsidRPr="0009354D">
              <w:t>Research and development</w:t>
            </w:r>
          </w:p>
        </w:tc>
        <w:tc>
          <w:tcPr>
            <w:tcW w:w="1152" w:type="dxa"/>
          </w:tcPr>
          <w:p w14:paraId="4F958A69" w14:textId="77777777" w:rsidR="007B7F55" w:rsidRPr="0009354D" w:rsidRDefault="007B7F55" w:rsidP="00E12A85">
            <w:pPr>
              <w:tabs>
                <w:tab w:val="decimal" w:pos="1062"/>
                <w:tab w:val="right" w:pos="9180"/>
              </w:tabs>
              <w:ind w:right="-46"/>
            </w:pPr>
          </w:p>
        </w:tc>
        <w:tc>
          <w:tcPr>
            <w:tcW w:w="1620" w:type="dxa"/>
          </w:tcPr>
          <w:p w14:paraId="36EBD0DC" w14:textId="6B6CF737" w:rsidR="007B7F55" w:rsidRPr="0009354D" w:rsidRDefault="007B7F55" w:rsidP="00E12A85">
            <w:pPr>
              <w:tabs>
                <w:tab w:val="decimal" w:pos="1062"/>
                <w:tab w:val="right" w:pos="9180"/>
              </w:tabs>
              <w:ind w:right="-46"/>
            </w:pPr>
            <w:r w:rsidRPr="0009354D">
              <w:tab/>
            </w:r>
            <w:r w:rsidR="000127CB">
              <w:t>5,</w:t>
            </w:r>
            <w:r w:rsidR="000C44C8">
              <w:t>35</w:t>
            </w:r>
            <w:r w:rsidR="000127CB">
              <w:t>8,917</w:t>
            </w:r>
          </w:p>
        </w:tc>
        <w:tc>
          <w:tcPr>
            <w:tcW w:w="1548" w:type="dxa"/>
          </w:tcPr>
          <w:p w14:paraId="0FB86549" w14:textId="2984937C" w:rsidR="007B7F55" w:rsidRPr="0009354D" w:rsidRDefault="007B7F55" w:rsidP="00E12A85">
            <w:pPr>
              <w:tabs>
                <w:tab w:val="decimal" w:pos="1062"/>
                <w:tab w:val="right" w:pos="9180"/>
              </w:tabs>
              <w:ind w:right="-18"/>
            </w:pPr>
            <w:r w:rsidRPr="0009354D">
              <w:tab/>
            </w:r>
            <w:r>
              <w:t>2,659,980</w:t>
            </w:r>
          </w:p>
        </w:tc>
        <w:tc>
          <w:tcPr>
            <w:tcW w:w="1530" w:type="dxa"/>
          </w:tcPr>
          <w:p w14:paraId="3012616F" w14:textId="549AC4C8" w:rsidR="007B7F55" w:rsidRPr="0009354D" w:rsidRDefault="007B7F55" w:rsidP="00E12A85">
            <w:pPr>
              <w:tabs>
                <w:tab w:val="decimal" w:pos="1152"/>
                <w:tab w:val="right" w:pos="9180"/>
              </w:tabs>
              <w:ind w:right="-18"/>
            </w:pPr>
            <w:r w:rsidRPr="0009354D">
              <w:tab/>
            </w:r>
            <w:r w:rsidR="000C44C8">
              <w:t>2,698,937</w:t>
            </w:r>
          </w:p>
        </w:tc>
      </w:tr>
      <w:tr w:rsidR="007B7F55" w:rsidRPr="0009354D" w14:paraId="5B2D6362" w14:textId="77777777" w:rsidTr="00E12A85">
        <w:tc>
          <w:tcPr>
            <w:tcW w:w="378" w:type="dxa"/>
          </w:tcPr>
          <w:p w14:paraId="03E335F1" w14:textId="77777777" w:rsidR="007B7F55" w:rsidRPr="0009354D" w:rsidRDefault="007B7F55" w:rsidP="00E12A85">
            <w:pPr>
              <w:ind w:right="-360"/>
            </w:pPr>
          </w:p>
        </w:tc>
        <w:tc>
          <w:tcPr>
            <w:tcW w:w="3060" w:type="dxa"/>
            <w:gridSpan w:val="3"/>
          </w:tcPr>
          <w:p w14:paraId="3E991E3E" w14:textId="77777777" w:rsidR="007B7F55" w:rsidRPr="0009354D" w:rsidRDefault="007B7F55" w:rsidP="00E12A85">
            <w:pPr>
              <w:tabs>
                <w:tab w:val="right" w:pos="9180"/>
              </w:tabs>
              <w:ind w:right="-360"/>
            </w:pPr>
            <w:r w:rsidRPr="0009354D">
              <w:t>General and administrative</w:t>
            </w:r>
          </w:p>
        </w:tc>
        <w:tc>
          <w:tcPr>
            <w:tcW w:w="1152" w:type="dxa"/>
          </w:tcPr>
          <w:p w14:paraId="1329F323" w14:textId="77777777" w:rsidR="007B7F55" w:rsidRPr="0009354D" w:rsidRDefault="007B7F55" w:rsidP="00E12A85">
            <w:pPr>
              <w:tabs>
                <w:tab w:val="decimal" w:pos="1062"/>
                <w:tab w:val="right" w:pos="9180"/>
              </w:tabs>
              <w:ind w:right="-46"/>
            </w:pPr>
          </w:p>
        </w:tc>
        <w:tc>
          <w:tcPr>
            <w:tcW w:w="1620" w:type="dxa"/>
          </w:tcPr>
          <w:p w14:paraId="4B614B8C" w14:textId="45E549DD" w:rsidR="007B7F55" w:rsidRPr="0009354D" w:rsidRDefault="007B7F55" w:rsidP="00E12A85">
            <w:pPr>
              <w:tabs>
                <w:tab w:val="decimal" w:pos="1062"/>
                <w:tab w:val="right" w:pos="9180"/>
              </w:tabs>
              <w:ind w:right="-46"/>
            </w:pPr>
            <w:r w:rsidRPr="0009354D">
              <w:tab/>
            </w:r>
            <w:r w:rsidR="000127CB">
              <w:t>3,3</w:t>
            </w:r>
            <w:r w:rsidR="00142598">
              <w:t>6</w:t>
            </w:r>
            <w:r w:rsidR="000127CB">
              <w:t>3,672</w:t>
            </w:r>
          </w:p>
        </w:tc>
        <w:tc>
          <w:tcPr>
            <w:tcW w:w="1548" w:type="dxa"/>
          </w:tcPr>
          <w:p w14:paraId="6E9C1EC9" w14:textId="0309AFC9" w:rsidR="007B7F55" w:rsidRPr="0009354D" w:rsidRDefault="007B7F55" w:rsidP="00E12A85">
            <w:pPr>
              <w:tabs>
                <w:tab w:val="decimal" w:pos="1062"/>
                <w:tab w:val="right" w:pos="9180"/>
              </w:tabs>
              <w:ind w:right="-18"/>
            </w:pPr>
            <w:r w:rsidRPr="0009354D">
              <w:tab/>
            </w:r>
            <w:r>
              <w:t>2,562,641</w:t>
            </w:r>
          </w:p>
        </w:tc>
        <w:tc>
          <w:tcPr>
            <w:tcW w:w="1530" w:type="dxa"/>
          </w:tcPr>
          <w:p w14:paraId="7655F88E" w14:textId="084F84C5" w:rsidR="007B7F55" w:rsidRPr="0009354D" w:rsidRDefault="007B7F55" w:rsidP="00E12A85">
            <w:pPr>
              <w:tabs>
                <w:tab w:val="decimal" w:pos="1152"/>
                <w:tab w:val="right" w:pos="9180"/>
              </w:tabs>
              <w:ind w:right="-18"/>
            </w:pPr>
            <w:r w:rsidRPr="0009354D">
              <w:tab/>
            </w:r>
            <w:r w:rsidR="00142598">
              <w:t>80</w:t>
            </w:r>
            <w:r w:rsidR="000C44C8">
              <w:t>1,031</w:t>
            </w:r>
          </w:p>
        </w:tc>
      </w:tr>
      <w:tr w:rsidR="007B7F55" w:rsidRPr="0009354D" w14:paraId="135C89FC" w14:textId="77777777" w:rsidTr="00E12A85">
        <w:tc>
          <w:tcPr>
            <w:tcW w:w="3438" w:type="dxa"/>
            <w:gridSpan w:val="4"/>
          </w:tcPr>
          <w:p w14:paraId="774A93EB" w14:textId="77777777" w:rsidR="007B7F55" w:rsidRPr="0009354D" w:rsidRDefault="007B7F55" w:rsidP="00E12A85">
            <w:pPr>
              <w:tabs>
                <w:tab w:val="right" w:pos="9180"/>
              </w:tabs>
              <w:ind w:right="-360"/>
            </w:pPr>
            <w:r w:rsidRPr="0009354D">
              <w:t>Total operating expenses</w:t>
            </w:r>
          </w:p>
        </w:tc>
        <w:tc>
          <w:tcPr>
            <w:tcW w:w="1152" w:type="dxa"/>
          </w:tcPr>
          <w:p w14:paraId="03199F1A" w14:textId="77777777" w:rsidR="007B7F55" w:rsidRPr="0009354D" w:rsidRDefault="007B7F55" w:rsidP="00E12A85">
            <w:pPr>
              <w:tabs>
                <w:tab w:val="decimal" w:pos="1062"/>
                <w:tab w:val="right" w:pos="9180"/>
              </w:tabs>
              <w:ind w:right="-46"/>
            </w:pPr>
          </w:p>
        </w:tc>
        <w:tc>
          <w:tcPr>
            <w:tcW w:w="1620" w:type="dxa"/>
            <w:tcBorders>
              <w:top w:val="single" w:sz="4" w:space="0" w:color="auto"/>
              <w:bottom w:val="single" w:sz="4" w:space="0" w:color="auto"/>
            </w:tcBorders>
          </w:tcPr>
          <w:p w14:paraId="08F95E53" w14:textId="6DA5391A" w:rsidR="007B7F55" w:rsidRPr="0009354D" w:rsidRDefault="007B7F55" w:rsidP="00E12A85">
            <w:pPr>
              <w:tabs>
                <w:tab w:val="decimal" w:pos="1062"/>
                <w:tab w:val="right" w:pos="9180"/>
              </w:tabs>
              <w:ind w:right="-46"/>
            </w:pPr>
            <w:r w:rsidRPr="0009354D">
              <w:tab/>
            </w:r>
            <w:r w:rsidR="000127CB">
              <w:t>8,</w:t>
            </w:r>
            <w:r w:rsidR="00142598">
              <w:t>72</w:t>
            </w:r>
            <w:r w:rsidR="000127CB">
              <w:t>2,589</w:t>
            </w:r>
          </w:p>
        </w:tc>
        <w:tc>
          <w:tcPr>
            <w:tcW w:w="1548" w:type="dxa"/>
            <w:tcBorders>
              <w:top w:val="single" w:sz="4" w:space="0" w:color="auto"/>
              <w:bottom w:val="single" w:sz="4" w:space="0" w:color="auto"/>
            </w:tcBorders>
          </w:tcPr>
          <w:p w14:paraId="61A43A45" w14:textId="65B1A96E" w:rsidR="007B7F55" w:rsidRPr="0009354D" w:rsidRDefault="007B7F55" w:rsidP="00E12A85">
            <w:pPr>
              <w:tabs>
                <w:tab w:val="decimal" w:pos="1062"/>
                <w:tab w:val="right" w:pos="9180"/>
              </w:tabs>
              <w:ind w:right="-18"/>
            </w:pPr>
            <w:r w:rsidRPr="0009354D">
              <w:tab/>
            </w:r>
            <w:r>
              <w:t>5,222,621</w:t>
            </w:r>
          </w:p>
        </w:tc>
        <w:tc>
          <w:tcPr>
            <w:tcW w:w="1530" w:type="dxa"/>
            <w:tcBorders>
              <w:top w:val="single" w:sz="4" w:space="0" w:color="auto"/>
              <w:bottom w:val="single" w:sz="4" w:space="0" w:color="auto"/>
            </w:tcBorders>
          </w:tcPr>
          <w:p w14:paraId="745C48AA" w14:textId="768C9BD8" w:rsidR="007B7F55" w:rsidRPr="0009354D" w:rsidRDefault="007B7F55" w:rsidP="00E12A85">
            <w:pPr>
              <w:tabs>
                <w:tab w:val="decimal" w:pos="1152"/>
                <w:tab w:val="right" w:pos="9180"/>
              </w:tabs>
              <w:ind w:right="-18"/>
            </w:pPr>
            <w:r w:rsidRPr="0009354D">
              <w:tab/>
            </w:r>
            <w:r w:rsidR="000C44C8">
              <w:t>3,</w:t>
            </w:r>
            <w:r w:rsidR="000B5C16">
              <w:t>4</w:t>
            </w:r>
            <w:r w:rsidR="00142598">
              <w:t>9</w:t>
            </w:r>
            <w:r w:rsidR="000B5C16">
              <w:t>9</w:t>
            </w:r>
            <w:r w:rsidR="000C44C8">
              <w:t>,968</w:t>
            </w:r>
          </w:p>
        </w:tc>
      </w:tr>
      <w:tr w:rsidR="007B7F55" w:rsidRPr="0009354D" w14:paraId="6EBACABF" w14:textId="77777777" w:rsidTr="00E12A85">
        <w:tc>
          <w:tcPr>
            <w:tcW w:w="3438" w:type="dxa"/>
            <w:gridSpan w:val="4"/>
          </w:tcPr>
          <w:p w14:paraId="6026557F" w14:textId="77777777" w:rsidR="007B7F55" w:rsidRPr="0009354D" w:rsidRDefault="007B7F55" w:rsidP="00E12A85">
            <w:pPr>
              <w:tabs>
                <w:tab w:val="right" w:pos="9180"/>
              </w:tabs>
              <w:ind w:right="-360"/>
            </w:pPr>
            <w:r w:rsidRPr="0009354D">
              <w:t>Loss from operations</w:t>
            </w:r>
          </w:p>
        </w:tc>
        <w:tc>
          <w:tcPr>
            <w:tcW w:w="1152" w:type="dxa"/>
          </w:tcPr>
          <w:p w14:paraId="39AAD7E2" w14:textId="77777777" w:rsidR="007B7F55" w:rsidRPr="0009354D" w:rsidRDefault="007B7F55" w:rsidP="00E12A85">
            <w:pPr>
              <w:tabs>
                <w:tab w:val="decimal" w:pos="1062"/>
                <w:tab w:val="right" w:pos="9180"/>
              </w:tabs>
              <w:ind w:right="-46"/>
            </w:pPr>
          </w:p>
        </w:tc>
        <w:tc>
          <w:tcPr>
            <w:tcW w:w="1620" w:type="dxa"/>
          </w:tcPr>
          <w:p w14:paraId="6A28BE68" w14:textId="0B43A1FC" w:rsidR="007B7F55" w:rsidRPr="0009354D" w:rsidRDefault="007B7F55" w:rsidP="00E12A85">
            <w:pPr>
              <w:tabs>
                <w:tab w:val="decimal" w:pos="1062"/>
                <w:tab w:val="right" w:pos="9180"/>
              </w:tabs>
              <w:ind w:right="-46"/>
            </w:pPr>
            <w:r w:rsidRPr="0009354D">
              <w:tab/>
            </w:r>
            <w:r w:rsidR="000127CB">
              <w:t>(8,6</w:t>
            </w:r>
            <w:r w:rsidR="00142598">
              <w:t>4</w:t>
            </w:r>
            <w:r w:rsidR="000127CB">
              <w:t>1,063)</w:t>
            </w:r>
          </w:p>
        </w:tc>
        <w:tc>
          <w:tcPr>
            <w:tcW w:w="1548" w:type="dxa"/>
          </w:tcPr>
          <w:p w14:paraId="381D9CA9" w14:textId="40079C26" w:rsidR="007B7F55" w:rsidRPr="0009354D" w:rsidRDefault="007B7F55" w:rsidP="00E12A85">
            <w:pPr>
              <w:tabs>
                <w:tab w:val="decimal" w:pos="1044"/>
                <w:tab w:val="right" w:pos="9180"/>
              </w:tabs>
              <w:ind w:right="-18"/>
            </w:pPr>
            <w:r w:rsidRPr="0009354D">
              <w:tab/>
              <w:t>(</w:t>
            </w:r>
            <w:r>
              <w:t>5,002,082</w:t>
            </w:r>
            <w:r w:rsidRPr="0009354D">
              <w:t>)</w:t>
            </w:r>
          </w:p>
        </w:tc>
        <w:tc>
          <w:tcPr>
            <w:tcW w:w="1530" w:type="dxa"/>
          </w:tcPr>
          <w:p w14:paraId="630FC30E" w14:textId="3CAA0568" w:rsidR="007B7F55" w:rsidRPr="0009354D" w:rsidRDefault="007B7F55" w:rsidP="00E12A85">
            <w:pPr>
              <w:tabs>
                <w:tab w:val="decimal" w:pos="1152"/>
                <w:tab w:val="right" w:pos="9180"/>
              </w:tabs>
              <w:ind w:right="-18"/>
            </w:pPr>
            <w:r w:rsidRPr="0009354D">
              <w:tab/>
            </w:r>
            <w:r w:rsidR="000C44C8">
              <w:t>(3,6</w:t>
            </w:r>
            <w:r w:rsidR="00142598">
              <w:t>3</w:t>
            </w:r>
            <w:r w:rsidR="000C44C8">
              <w:t>8,981)</w:t>
            </w:r>
          </w:p>
        </w:tc>
      </w:tr>
      <w:tr w:rsidR="007B7F55" w:rsidRPr="0009354D" w14:paraId="54C76975" w14:textId="77777777" w:rsidTr="00E12A85">
        <w:tc>
          <w:tcPr>
            <w:tcW w:w="3438" w:type="dxa"/>
            <w:gridSpan w:val="4"/>
          </w:tcPr>
          <w:p w14:paraId="0F00F95A" w14:textId="1411DB6B" w:rsidR="007B7F55" w:rsidRPr="0009354D" w:rsidRDefault="007B7F55" w:rsidP="00E12A85">
            <w:pPr>
              <w:tabs>
                <w:tab w:val="right" w:pos="9180"/>
              </w:tabs>
              <w:ind w:right="-360"/>
            </w:pPr>
            <w:r w:rsidRPr="0009354D">
              <w:t>Total other income (expense)</w:t>
            </w:r>
            <w:r>
              <w:t>, net</w:t>
            </w:r>
          </w:p>
        </w:tc>
        <w:tc>
          <w:tcPr>
            <w:tcW w:w="1152" w:type="dxa"/>
          </w:tcPr>
          <w:p w14:paraId="336A9DD4" w14:textId="77777777" w:rsidR="007B7F55" w:rsidRPr="0009354D" w:rsidRDefault="007B7F55" w:rsidP="00E12A85">
            <w:pPr>
              <w:tabs>
                <w:tab w:val="decimal" w:pos="1062"/>
                <w:tab w:val="right" w:pos="9180"/>
              </w:tabs>
              <w:ind w:right="-46"/>
            </w:pPr>
          </w:p>
        </w:tc>
        <w:tc>
          <w:tcPr>
            <w:tcW w:w="1620" w:type="dxa"/>
            <w:tcBorders>
              <w:bottom w:val="single" w:sz="4" w:space="0" w:color="auto"/>
            </w:tcBorders>
          </w:tcPr>
          <w:p w14:paraId="1C35A755" w14:textId="0704BBB3" w:rsidR="007B7F55" w:rsidRPr="0009354D" w:rsidRDefault="007B7F55" w:rsidP="00E12A85">
            <w:pPr>
              <w:tabs>
                <w:tab w:val="decimal" w:pos="1062"/>
                <w:tab w:val="right" w:pos="9180"/>
              </w:tabs>
              <w:ind w:right="-46"/>
            </w:pPr>
            <w:r w:rsidRPr="0009354D">
              <w:tab/>
            </w:r>
            <w:r w:rsidR="000127CB">
              <w:t>3,747</w:t>
            </w:r>
          </w:p>
        </w:tc>
        <w:tc>
          <w:tcPr>
            <w:tcW w:w="1548" w:type="dxa"/>
          </w:tcPr>
          <w:p w14:paraId="51612F23" w14:textId="11AEFF2A" w:rsidR="007B7F55" w:rsidRPr="0009354D" w:rsidRDefault="007B7F55" w:rsidP="00E12A85">
            <w:pPr>
              <w:tabs>
                <w:tab w:val="decimal" w:pos="1062"/>
                <w:tab w:val="right" w:pos="9180"/>
              </w:tabs>
              <w:ind w:right="-18"/>
            </w:pPr>
            <w:r w:rsidRPr="0009354D">
              <w:tab/>
            </w:r>
            <w:r>
              <w:t>174,768</w:t>
            </w:r>
          </w:p>
        </w:tc>
        <w:tc>
          <w:tcPr>
            <w:tcW w:w="1530" w:type="dxa"/>
          </w:tcPr>
          <w:p w14:paraId="185A2197" w14:textId="3B8044AF" w:rsidR="007B7F55" w:rsidRPr="0009354D" w:rsidRDefault="007B7F55" w:rsidP="00E12A85">
            <w:pPr>
              <w:tabs>
                <w:tab w:val="decimal" w:pos="1152"/>
                <w:tab w:val="right" w:pos="9180"/>
              </w:tabs>
              <w:ind w:right="-18"/>
            </w:pPr>
            <w:r w:rsidRPr="0009354D">
              <w:tab/>
            </w:r>
            <w:r w:rsidR="000C44C8">
              <w:t>(171,021)</w:t>
            </w:r>
          </w:p>
        </w:tc>
      </w:tr>
      <w:tr w:rsidR="007B7F55" w:rsidRPr="0009354D" w14:paraId="51DBA96F" w14:textId="77777777" w:rsidTr="00E12A85">
        <w:tc>
          <w:tcPr>
            <w:tcW w:w="3438" w:type="dxa"/>
            <w:gridSpan w:val="4"/>
          </w:tcPr>
          <w:p w14:paraId="012591E9" w14:textId="77777777" w:rsidR="007B7F55" w:rsidRPr="0009354D" w:rsidRDefault="007B7F55" w:rsidP="00E12A85">
            <w:pPr>
              <w:tabs>
                <w:tab w:val="right" w:pos="9180"/>
              </w:tabs>
              <w:ind w:right="-360"/>
            </w:pPr>
            <w:r w:rsidRPr="0009354D">
              <w:t>Net loss</w:t>
            </w:r>
          </w:p>
        </w:tc>
        <w:tc>
          <w:tcPr>
            <w:tcW w:w="1152" w:type="dxa"/>
          </w:tcPr>
          <w:p w14:paraId="195B5A69" w14:textId="77777777" w:rsidR="007B7F55" w:rsidRPr="0009354D" w:rsidRDefault="007B7F55" w:rsidP="00E12A85">
            <w:pPr>
              <w:tabs>
                <w:tab w:val="decimal" w:pos="1062"/>
                <w:tab w:val="right" w:pos="9180"/>
              </w:tabs>
              <w:ind w:right="-46"/>
            </w:pPr>
          </w:p>
        </w:tc>
        <w:tc>
          <w:tcPr>
            <w:tcW w:w="1620" w:type="dxa"/>
            <w:tcBorders>
              <w:top w:val="single" w:sz="4" w:space="0" w:color="auto"/>
              <w:bottom w:val="double" w:sz="4" w:space="0" w:color="auto"/>
            </w:tcBorders>
          </w:tcPr>
          <w:p w14:paraId="60A81B8D" w14:textId="619E3DD9" w:rsidR="007B7F55" w:rsidRPr="0009354D" w:rsidRDefault="007B7F55" w:rsidP="00E12A85">
            <w:pPr>
              <w:tabs>
                <w:tab w:val="decimal" w:pos="1062"/>
                <w:tab w:val="right" w:pos="9180"/>
              </w:tabs>
              <w:ind w:right="-46"/>
            </w:pPr>
            <w:r w:rsidRPr="0009354D">
              <w:t>$</w:t>
            </w:r>
            <w:r w:rsidRPr="0009354D">
              <w:tab/>
            </w:r>
            <w:r w:rsidR="000127CB">
              <w:t>(8,6</w:t>
            </w:r>
            <w:r w:rsidR="00142598">
              <w:t>3</w:t>
            </w:r>
            <w:r w:rsidR="000127CB">
              <w:t>7,316)</w:t>
            </w:r>
          </w:p>
        </w:tc>
        <w:tc>
          <w:tcPr>
            <w:tcW w:w="1548" w:type="dxa"/>
            <w:tcBorders>
              <w:top w:val="single" w:sz="4" w:space="0" w:color="auto"/>
              <w:bottom w:val="double" w:sz="4" w:space="0" w:color="auto"/>
            </w:tcBorders>
          </w:tcPr>
          <w:p w14:paraId="2C35D869" w14:textId="41DF56E8" w:rsidR="007B7F55" w:rsidRPr="0009354D" w:rsidRDefault="007B7F55" w:rsidP="00E12A85">
            <w:pPr>
              <w:tabs>
                <w:tab w:val="decimal" w:pos="1044"/>
                <w:tab w:val="right" w:pos="9180"/>
              </w:tabs>
              <w:ind w:right="-18"/>
            </w:pPr>
            <w:r w:rsidRPr="0009354D">
              <w:t>$</w:t>
            </w:r>
            <w:r w:rsidRPr="0009354D">
              <w:tab/>
              <w:t>(</w:t>
            </w:r>
            <w:r>
              <w:t>4,827,314</w:t>
            </w:r>
            <w:r w:rsidRPr="0009354D">
              <w:t>)</w:t>
            </w:r>
          </w:p>
        </w:tc>
        <w:tc>
          <w:tcPr>
            <w:tcW w:w="1530" w:type="dxa"/>
            <w:tcBorders>
              <w:top w:val="single" w:sz="4" w:space="0" w:color="auto"/>
              <w:bottom w:val="double" w:sz="4" w:space="0" w:color="auto"/>
            </w:tcBorders>
          </w:tcPr>
          <w:p w14:paraId="28BC10C2" w14:textId="0EB78A39" w:rsidR="007B7F55" w:rsidRPr="0009354D" w:rsidRDefault="007B7F55" w:rsidP="00E12A85">
            <w:pPr>
              <w:tabs>
                <w:tab w:val="decimal" w:pos="1152"/>
                <w:tab w:val="right" w:pos="9180"/>
              </w:tabs>
              <w:ind w:right="-18"/>
            </w:pPr>
            <w:r w:rsidRPr="0009354D">
              <w:t>$</w:t>
            </w:r>
            <w:r w:rsidRPr="0009354D">
              <w:tab/>
            </w:r>
            <w:r w:rsidR="000C44C8">
              <w:t>(3,</w:t>
            </w:r>
            <w:r w:rsidR="00142598">
              <w:t>81</w:t>
            </w:r>
            <w:r w:rsidR="000C44C8">
              <w:t>0,002)</w:t>
            </w:r>
          </w:p>
        </w:tc>
      </w:tr>
    </w:tbl>
    <w:p w14:paraId="72FFE1AF" w14:textId="77777777" w:rsidR="007B7F55" w:rsidRPr="0009354D" w:rsidRDefault="007B7F55" w:rsidP="007B7F55">
      <w:pPr>
        <w:rPr>
          <w:i/>
          <w:iCs/>
        </w:rPr>
      </w:pPr>
    </w:p>
    <w:p w14:paraId="69545C6F" w14:textId="0ED8BFEF" w:rsidR="00177E79" w:rsidRPr="0009354D" w:rsidRDefault="00177E79" w:rsidP="00177E79">
      <w:r w:rsidRPr="0009354D">
        <w:rPr>
          <w:i/>
          <w:iCs/>
        </w:rPr>
        <w:t>Grant Revenues</w:t>
      </w:r>
    </w:p>
    <w:p w14:paraId="4196A7BA" w14:textId="7B289CE9" w:rsidR="00177E79" w:rsidRDefault="00177E79" w:rsidP="00177E79"/>
    <w:p w14:paraId="2406A058" w14:textId="03F98909" w:rsidR="0016138B" w:rsidRPr="0016138B" w:rsidRDefault="00BF1181" w:rsidP="00E1248A">
      <w:pPr>
        <w:rPr>
          <w:bCs/>
        </w:rPr>
      </w:pPr>
      <w:r w:rsidRPr="0009354D">
        <w:rPr>
          <w:bCs/>
        </w:rPr>
        <w:t>The following table summarize</w:t>
      </w:r>
      <w:r>
        <w:rPr>
          <w:bCs/>
        </w:rPr>
        <w:t>s</w:t>
      </w:r>
      <w:r w:rsidRPr="0009354D">
        <w:rPr>
          <w:bCs/>
        </w:rPr>
        <w:t xml:space="preserve"> our </w:t>
      </w:r>
      <w:r>
        <w:rPr>
          <w:bCs/>
        </w:rPr>
        <w:t>grant revenues</w:t>
      </w:r>
      <w:r w:rsidRPr="0009354D">
        <w:rPr>
          <w:bCs/>
        </w:rPr>
        <w:t xml:space="preserve"> for the three-month and </w:t>
      </w:r>
      <w:r w:rsidR="007B7F55">
        <w:rPr>
          <w:bCs/>
        </w:rPr>
        <w:t>nine</w:t>
      </w:r>
      <w:r w:rsidRPr="0009354D">
        <w:rPr>
          <w:bCs/>
        </w:rPr>
        <w:t xml:space="preserve">-month periods ended </w:t>
      </w:r>
      <w:r w:rsidR="007B7F55">
        <w:rPr>
          <w:bCs/>
        </w:rPr>
        <w:t>September</w:t>
      </w:r>
      <w:r w:rsidRPr="0009354D">
        <w:rPr>
          <w:bCs/>
        </w:rPr>
        <w:t xml:space="preserve"> 30, 202</w:t>
      </w:r>
      <w:r>
        <w:rPr>
          <w:bCs/>
        </w:rPr>
        <w:t>2</w:t>
      </w:r>
      <w:r w:rsidRPr="0009354D">
        <w:rPr>
          <w:bCs/>
        </w:rPr>
        <w:t xml:space="preserve"> and 202</w:t>
      </w:r>
      <w:r>
        <w:rPr>
          <w:bCs/>
        </w:rPr>
        <w:t>1</w:t>
      </w:r>
      <w:r w:rsidRPr="0009354D">
        <w:rPr>
          <w:bCs/>
        </w:rPr>
        <w:t>:</w:t>
      </w:r>
    </w:p>
    <w:tbl>
      <w:tblPr>
        <w:tblStyle w:val="TableGrid1"/>
        <w:tblW w:w="9990" w:type="dxa"/>
        <w:tblLayout w:type="fixed"/>
        <w:tblLook w:val="04A0" w:firstRow="1" w:lastRow="0" w:firstColumn="1" w:lastColumn="0" w:noHBand="0" w:noVBand="1"/>
      </w:tblPr>
      <w:tblGrid>
        <w:gridCol w:w="3600"/>
        <w:gridCol w:w="1800"/>
        <w:gridCol w:w="1530"/>
        <w:gridCol w:w="1530"/>
        <w:gridCol w:w="1530"/>
      </w:tblGrid>
      <w:tr w:rsidR="0016138B" w:rsidRPr="00BF1181" w14:paraId="13810908" w14:textId="77777777" w:rsidTr="007B7F55">
        <w:tc>
          <w:tcPr>
            <w:tcW w:w="3600" w:type="dxa"/>
            <w:tcBorders>
              <w:top w:val="nil"/>
              <w:left w:val="nil"/>
              <w:bottom w:val="nil"/>
              <w:right w:val="nil"/>
            </w:tcBorders>
          </w:tcPr>
          <w:p w14:paraId="203BDD8B" w14:textId="77777777" w:rsidR="0016138B" w:rsidRPr="00BF1181" w:rsidRDefault="0016138B" w:rsidP="00DA1002">
            <w:bookmarkStart w:id="31" w:name="_Hlk109054715"/>
            <w:bookmarkStart w:id="32" w:name="_Hlk108530672"/>
          </w:p>
        </w:tc>
        <w:tc>
          <w:tcPr>
            <w:tcW w:w="3330" w:type="dxa"/>
            <w:gridSpan w:val="2"/>
            <w:tcBorders>
              <w:top w:val="nil"/>
              <w:left w:val="nil"/>
              <w:bottom w:val="single" w:sz="4" w:space="0" w:color="auto"/>
              <w:right w:val="nil"/>
            </w:tcBorders>
          </w:tcPr>
          <w:p w14:paraId="556E284D" w14:textId="7CFD05E2" w:rsidR="0016138B" w:rsidRPr="00BF1181" w:rsidRDefault="0016138B" w:rsidP="00DA1002">
            <w:pPr>
              <w:tabs>
                <w:tab w:val="right" w:pos="926"/>
                <w:tab w:val="right" w:pos="989"/>
              </w:tabs>
              <w:jc w:val="center"/>
            </w:pPr>
            <w:r>
              <w:t xml:space="preserve">Three Months Ended </w:t>
            </w:r>
            <w:r w:rsidR="007B7F55">
              <w:t>September</w:t>
            </w:r>
            <w:r>
              <w:t xml:space="preserve"> 30,</w:t>
            </w:r>
          </w:p>
        </w:tc>
        <w:tc>
          <w:tcPr>
            <w:tcW w:w="3060" w:type="dxa"/>
            <w:gridSpan w:val="2"/>
            <w:tcBorders>
              <w:top w:val="nil"/>
              <w:left w:val="nil"/>
              <w:bottom w:val="single" w:sz="4" w:space="0" w:color="auto"/>
              <w:right w:val="nil"/>
            </w:tcBorders>
          </w:tcPr>
          <w:p w14:paraId="4FBCA7DF" w14:textId="32DC0061" w:rsidR="0016138B" w:rsidRPr="00BF1181" w:rsidRDefault="007B7F55" w:rsidP="00DA1002">
            <w:pPr>
              <w:tabs>
                <w:tab w:val="right" w:pos="989"/>
              </w:tabs>
              <w:jc w:val="center"/>
            </w:pPr>
            <w:r>
              <w:t>Nine</w:t>
            </w:r>
            <w:r w:rsidR="0016138B">
              <w:t xml:space="preserve"> Months Ended </w:t>
            </w:r>
            <w:r>
              <w:t>September</w:t>
            </w:r>
            <w:r w:rsidR="0016138B">
              <w:t xml:space="preserve"> 30,</w:t>
            </w:r>
          </w:p>
        </w:tc>
      </w:tr>
      <w:bookmarkEnd w:id="31"/>
      <w:tr w:rsidR="0016138B" w:rsidRPr="00BF1181" w14:paraId="2A0455E6" w14:textId="77777777" w:rsidTr="007B7F55">
        <w:tc>
          <w:tcPr>
            <w:tcW w:w="3600" w:type="dxa"/>
            <w:tcBorders>
              <w:top w:val="nil"/>
              <w:left w:val="nil"/>
              <w:bottom w:val="nil"/>
              <w:right w:val="nil"/>
            </w:tcBorders>
          </w:tcPr>
          <w:p w14:paraId="510066AF" w14:textId="77777777" w:rsidR="0016138B" w:rsidRPr="00BF1181" w:rsidRDefault="0016138B" w:rsidP="00D7348C"/>
        </w:tc>
        <w:tc>
          <w:tcPr>
            <w:tcW w:w="1800" w:type="dxa"/>
            <w:tcBorders>
              <w:top w:val="single" w:sz="4" w:space="0" w:color="auto"/>
              <w:left w:val="nil"/>
              <w:bottom w:val="single" w:sz="4" w:space="0" w:color="auto"/>
              <w:right w:val="nil"/>
            </w:tcBorders>
          </w:tcPr>
          <w:p w14:paraId="177039EB" w14:textId="77777777" w:rsidR="0016138B" w:rsidRPr="00BF1181" w:rsidRDefault="0016138B" w:rsidP="00D7348C">
            <w:pPr>
              <w:tabs>
                <w:tab w:val="right" w:pos="969"/>
              </w:tabs>
              <w:jc w:val="center"/>
            </w:pPr>
            <w:r w:rsidRPr="00BF1181">
              <w:t>202</w:t>
            </w:r>
            <w:r>
              <w:t>2</w:t>
            </w:r>
          </w:p>
        </w:tc>
        <w:tc>
          <w:tcPr>
            <w:tcW w:w="1530" w:type="dxa"/>
            <w:tcBorders>
              <w:top w:val="single" w:sz="4" w:space="0" w:color="auto"/>
              <w:left w:val="nil"/>
              <w:bottom w:val="single" w:sz="4" w:space="0" w:color="auto"/>
              <w:right w:val="nil"/>
            </w:tcBorders>
          </w:tcPr>
          <w:p w14:paraId="476AA6E4" w14:textId="77777777" w:rsidR="0016138B" w:rsidRPr="00BF1181" w:rsidRDefault="0016138B" w:rsidP="00D7348C">
            <w:pPr>
              <w:tabs>
                <w:tab w:val="right" w:pos="926"/>
                <w:tab w:val="right" w:pos="989"/>
              </w:tabs>
              <w:jc w:val="center"/>
            </w:pPr>
            <w:r w:rsidRPr="00BF1181">
              <w:t>202</w:t>
            </w:r>
            <w:r>
              <w:t>1</w:t>
            </w:r>
          </w:p>
        </w:tc>
        <w:tc>
          <w:tcPr>
            <w:tcW w:w="1530" w:type="dxa"/>
            <w:tcBorders>
              <w:top w:val="single" w:sz="4" w:space="0" w:color="auto"/>
              <w:left w:val="nil"/>
              <w:bottom w:val="single" w:sz="4" w:space="0" w:color="auto"/>
              <w:right w:val="nil"/>
            </w:tcBorders>
          </w:tcPr>
          <w:p w14:paraId="61914D58" w14:textId="77777777" w:rsidR="0016138B" w:rsidRPr="00BF1181" w:rsidRDefault="0016138B" w:rsidP="00D7348C">
            <w:pPr>
              <w:tabs>
                <w:tab w:val="right" w:pos="989"/>
              </w:tabs>
              <w:jc w:val="center"/>
            </w:pPr>
            <w:r w:rsidRPr="00BF1181">
              <w:t>202</w:t>
            </w:r>
            <w:r>
              <w:t>2</w:t>
            </w:r>
          </w:p>
        </w:tc>
        <w:tc>
          <w:tcPr>
            <w:tcW w:w="1530" w:type="dxa"/>
            <w:tcBorders>
              <w:top w:val="single" w:sz="4" w:space="0" w:color="auto"/>
              <w:left w:val="nil"/>
              <w:bottom w:val="single" w:sz="4" w:space="0" w:color="auto"/>
              <w:right w:val="nil"/>
            </w:tcBorders>
          </w:tcPr>
          <w:p w14:paraId="1E5124FA" w14:textId="77777777" w:rsidR="0016138B" w:rsidRPr="00BF1181" w:rsidRDefault="0016138B" w:rsidP="00D7348C">
            <w:pPr>
              <w:tabs>
                <w:tab w:val="right" w:pos="989"/>
              </w:tabs>
              <w:jc w:val="center"/>
            </w:pPr>
            <w:r w:rsidRPr="00BF1181">
              <w:t>202</w:t>
            </w:r>
            <w:r>
              <w:t>1</w:t>
            </w:r>
          </w:p>
        </w:tc>
      </w:tr>
      <w:bookmarkEnd w:id="32"/>
      <w:tr w:rsidR="00BF1181" w:rsidRPr="00BF1181" w14:paraId="6A31A47E" w14:textId="77777777" w:rsidTr="007B7F55">
        <w:tc>
          <w:tcPr>
            <w:tcW w:w="3600" w:type="dxa"/>
            <w:tcBorders>
              <w:top w:val="nil"/>
              <w:left w:val="nil"/>
              <w:bottom w:val="nil"/>
              <w:right w:val="nil"/>
            </w:tcBorders>
          </w:tcPr>
          <w:p w14:paraId="3CAC0ED8" w14:textId="77777777" w:rsidR="00BF1181" w:rsidRPr="00BF1181" w:rsidRDefault="00BF1181" w:rsidP="00DA1002">
            <w:r w:rsidRPr="00BF1181">
              <w:t>Lassa Fever – U.S. Army Grant</w:t>
            </w:r>
          </w:p>
        </w:tc>
        <w:tc>
          <w:tcPr>
            <w:tcW w:w="1800" w:type="dxa"/>
            <w:tcBorders>
              <w:top w:val="single" w:sz="4" w:space="0" w:color="auto"/>
              <w:left w:val="nil"/>
              <w:bottom w:val="nil"/>
              <w:right w:val="nil"/>
            </w:tcBorders>
          </w:tcPr>
          <w:p w14:paraId="2FC23A01" w14:textId="77777777" w:rsidR="00BF1181" w:rsidRPr="00BF1181" w:rsidRDefault="00BF1181" w:rsidP="00DA1002">
            <w:pPr>
              <w:tabs>
                <w:tab w:val="right" w:pos="969"/>
              </w:tabs>
            </w:pPr>
            <w:r w:rsidRPr="00BF1181">
              <w:t>$</w:t>
            </w:r>
            <w:r w:rsidRPr="00BF1181">
              <w:tab/>
              <w:t>-</w:t>
            </w:r>
          </w:p>
        </w:tc>
        <w:tc>
          <w:tcPr>
            <w:tcW w:w="1530" w:type="dxa"/>
            <w:tcBorders>
              <w:top w:val="single" w:sz="4" w:space="0" w:color="auto"/>
              <w:left w:val="nil"/>
              <w:bottom w:val="nil"/>
              <w:right w:val="nil"/>
            </w:tcBorders>
          </w:tcPr>
          <w:p w14:paraId="4938016B" w14:textId="5AB08F2C" w:rsidR="00BF1181" w:rsidRPr="00BF1181" w:rsidRDefault="00BF1181" w:rsidP="00DA1002">
            <w:pPr>
              <w:tabs>
                <w:tab w:val="right" w:pos="926"/>
                <w:tab w:val="right" w:pos="989"/>
              </w:tabs>
            </w:pPr>
            <w:r w:rsidRPr="00BF1181">
              <w:t>$</w:t>
            </w:r>
            <w:r w:rsidRPr="00BF1181">
              <w:tab/>
            </w:r>
            <w:r w:rsidR="003F38DE">
              <w:t>-</w:t>
            </w:r>
          </w:p>
        </w:tc>
        <w:tc>
          <w:tcPr>
            <w:tcW w:w="1530" w:type="dxa"/>
            <w:tcBorders>
              <w:top w:val="single" w:sz="4" w:space="0" w:color="auto"/>
              <w:left w:val="nil"/>
              <w:bottom w:val="nil"/>
              <w:right w:val="nil"/>
            </w:tcBorders>
          </w:tcPr>
          <w:p w14:paraId="049B4389" w14:textId="2861B398" w:rsidR="00BF1181" w:rsidRPr="00BF1181" w:rsidRDefault="00BF1181" w:rsidP="00DA1002">
            <w:pPr>
              <w:tabs>
                <w:tab w:val="right" w:pos="989"/>
              </w:tabs>
            </w:pPr>
            <w:r w:rsidRPr="00BF1181">
              <w:t>$</w:t>
            </w:r>
            <w:r w:rsidRPr="00BF1181">
              <w:tab/>
            </w:r>
            <w:r w:rsidR="003F38DE">
              <w:t>81,526</w:t>
            </w:r>
          </w:p>
        </w:tc>
        <w:tc>
          <w:tcPr>
            <w:tcW w:w="1530" w:type="dxa"/>
            <w:tcBorders>
              <w:top w:val="single" w:sz="4" w:space="0" w:color="auto"/>
              <w:left w:val="nil"/>
              <w:bottom w:val="nil"/>
              <w:right w:val="nil"/>
            </w:tcBorders>
          </w:tcPr>
          <w:p w14:paraId="537A9431" w14:textId="17D9A173" w:rsidR="00BF1181" w:rsidRPr="00BF1181" w:rsidRDefault="00BF1181" w:rsidP="00DA1002">
            <w:pPr>
              <w:tabs>
                <w:tab w:val="right" w:pos="989"/>
              </w:tabs>
            </w:pPr>
            <w:r w:rsidRPr="00BF1181">
              <w:t>$</w:t>
            </w:r>
            <w:r w:rsidRPr="00BF1181">
              <w:tab/>
            </w:r>
            <w:r w:rsidR="003F38DE">
              <w:t>-</w:t>
            </w:r>
          </w:p>
        </w:tc>
      </w:tr>
      <w:tr w:rsidR="00BF1181" w:rsidRPr="00BF1181" w14:paraId="5B14E9CC" w14:textId="77777777" w:rsidTr="007B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0D80741B" w14:textId="16BEC811" w:rsidR="00BF1181" w:rsidRPr="00BF1181" w:rsidRDefault="0016138B" w:rsidP="00DA1002">
            <w:r>
              <w:t>COVID</w:t>
            </w:r>
            <w:r w:rsidR="00BF1181" w:rsidRPr="00BF1181">
              <w:t>-19 – NIH SBIR Grant</w:t>
            </w:r>
          </w:p>
        </w:tc>
        <w:tc>
          <w:tcPr>
            <w:tcW w:w="1800" w:type="dxa"/>
            <w:tcBorders>
              <w:bottom w:val="single" w:sz="4" w:space="0" w:color="auto"/>
            </w:tcBorders>
          </w:tcPr>
          <w:p w14:paraId="13F2ECBA" w14:textId="7286FD03" w:rsidR="00BF1181" w:rsidRPr="00BF1181" w:rsidRDefault="00BF1181" w:rsidP="00DA1002">
            <w:pPr>
              <w:tabs>
                <w:tab w:val="right" w:pos="969"/>
              </w:tabs>
            </w:pPr>
            <w:r w:rsidRPr="00BF1181">
              <w:tab/>
            </w:r>
            <w:r w:rsidR="003F38DE">
              <w:t>-</w:t>
            </w:r>
          </w:p>
        </w:tc>
        <w:tc>
          <w:tcPr>
            <w:tcW w:w="1530" w:type="dxa"/>
            <w:tcBorders>
              <w:bottom w:val="single" w:sz="4" w:space="0" w:color="auto"/>
            </w:tcBorders>
          </w:tcPr>
          <w:p w14:paraId="697068E5" w14:textId="7791757E" w:rsidR="00BF1181" w:rsidRPr="00BF1181" w:rsidRDefault="00BF1181" w:rsidP="00DA1002">
            <w:pPr>
              <w:tabs>
                <w:tab w:val="right" w:pos="926"/>
                <w:tab w:val="right" w:pos="989"/>
              </w:tabs>
            </w:pPr>
            <w:r w:rsidRPr="00BF1181">
              <w:tab/>
            </w:r>
            <w:r w:rsidR="007B7F55">
              <w:t>30,414</w:t>
            </w:r>
          </w:p>
        </w:tc>
        <w:tc>
          <w:tcPr>
            <w:tcW w:w="1530" w:type="dxa"/>
            <w:tcBorders>
              <w:bottom w:val="single" w:sz="4" w:space="0" w:color="auto"/>
            </w:tcBorders>
          </w:tcPr>
          <w:p w14:paraId="1875046B" w14:textId="17B67CD6" w:rsidR="00BF1181" w:rsidRPr="00BF1181" w:rsidRDefault="00BF1181" w:rsidP="00DA1002">
            <w:pPr>
              <w:tabs>
                <w:tab w:val="right" w:pos="989"/>
              </w:tabs>
            </w:pPr>
            <w:r w:rsidRPr="00BF1181">
              <w:tab/>
            </w:r>
            <w:r w:rsidR="003F38DE">
              <w:t>-</w:t>
            </w:r>
          </w:p>
        </w:tc>
        <w:tc>
          <w:tcPr>
            <w:tcW w:w="1530" w:type="dxa"/>
            <w:tcBorders>
              <w:bottom w:val="single" w:sz="4" w:space="0" w:color="auto"/>
            </w:tcBorders>
          </w:tcPr>
          <w:p w14:paraId="5C372D93" w14:textId="4A534BE5" w:rsidR="00BF1181" w:rsidRPr="00BF1181" w:rsidRDefault="00BF1181" w:rsidP="00DA1002">
            <w:pPr>
              <w:tabs>
                <w:tab w:val="right" w:pos="989"/>
              </w:tabs>
            </w:pPr>
            <w:r w:rsidRPr="00BF1181">
              <w:tab/>
            </w:r>
            <w:r w:rsidR="007B7F55">
              <w:t>220,539</w:t>
            </w:r>
          </w:p>
        </w:tc>
      </w:tr>
      <w:tr w:rsidR="00BF1181" w:rsidRPr="00BF1181" w14:paraId="42036A01" w14:textId="77777777" w:rsidTr="007B7F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3B96BD1D" w14:textId="77777777" w:rsidR="00BF1181" w:rsidRPr="00BF1181" w:rsidRDefault="00BF1181" w:rsidP="00DA1002">
            <w:r w:rsidRPr="00BF1181">
              <w:t>Total</w:t>
            </w:r>
          </w:p>
        </w:tc>
        <w:tc>
          <w:tcPr>
            <w:tcW w:w="1800" w:type="dxa"/>
            <w:tcBorders>
              <w:top w:val="single" w:sz="4" w:space="0" w:color="auto"/>
              <w:bottom w:val="double" w:sz="4" w:space="0" w:color="auto"/>
            </w:tcBorders>
          </w:tcPr>
          <w:p w14:paraId="20E1DA7A" w14:textId="51188872" w:rsidR="00BF1181" w:rsidRPr="00BF1181" w:rsidRDefault="00BF1181" w:rsidP="00DA1002">
            <w:pPr>
              <w:tabs>
                <w:tab w:val="right" w:pos="969"/>
              </w:tabs>
            </w:pPr>
            <w:r w:rsidRPr="00BF1181">
              <w:t>$</w:t>
            </w:r>
            <w:r w:rsidRPr="00BF1181">
              <w:tab/>
            </w:r>
            <w:r w:rsidR="003F38DE">
              <w:t>-</w:t>
            </w:r>
          </w:p>
        </w:tc>
        <w:tc>
          <w:tcPr>
            <w:tcW w:w="1530" w:type="dxa"/>
            <w:tcBorders>
              <w:top w:val="single" w:sz="4" w:space="0" w:color="auto"/>
              <w:bottom w:val="double" w:sz="4" w:space="0" w:color="auto"/>
            </w:tcBorders>
          </w:tcPr>
          <w:p w14:paraId="1387451A" w14:textId="39FAD227" w:rsidR="00BF1181" w:rsidRPr="00BF1181" w:rsidRDefault="00BF1181" w:rsidP="00DA1002">
            <w:pPr>
              <w:tabs>
                <w:tab w:val="right" w:pos="926"/>
                <w:tab w:val="right" w:pos="989"/>
              </w:tabs>
            </w:pPr>
            <w:r w:rsidRPr="00BF1181">
              <w:t>$</w:t>
            </w:r>
            <w:r w:rsidRPr="00BF1181">
              <w:tab/>
            </w:r>
            <w:r w:rsidR="007B7F55">
              <w:t>30,414</w:t>
            </w:r>
          </w:p>
        </w:tc>
        <w:tc>
          <w:tcPr>
            <w:tcW w:w="1530" w:type="dxa"/>
            <w:tcBorders>
              <w:top w:val="single" w:sz="4" w:space="0" w:color="auto"/>
              <w:bottom w:val="double" w:sz="4" w:space="0" w:color="auto"/>
            </w:tcBorders>
          </w:tcPr>
          <w:p w14:paraId="4772B490" w14:textId="37EF1D52" w:rsidR="00BF1181" w:rsidRPr="00BF1181" w:rsidRDefault="00BF1181" w:rsidP="00DA1002">
            <w:pPr>
              <w:tabs>
                <w:tab w:val="right" w:pos="989"/>
              </w:tabs>
            </w:pPr>
            <w:r w:rsidRPr="00BF1181">
              <w:t>$</w:t>
            </w:r>
            <w:r w:rsidRPr="00BF1181">
              <w:tab/>
            </w:r>
            <w:r w:rsidR="003F38DE">
              <w:t>81,526</w:t>
            </w:r>
          </w:p>
        </w:tc>
        <w:tc>
          <w:tcPr>
            <w:tcW w:w="1530" w:type="dxa"/>
            <w:tcBorders>
              <w:top w:val="single" w:sz="4" w:space="0" w:color="auto"/>
              <w:bottom w:val="double" w:sz="4" w:space="0" w:color="auto"/>
            </w:tcBorders>
          </w:tcPr>
          <w:p w14:paraId="1685C20B" w14:textId="7764F974" w:rsidR="00BF1181" w:rsidRPr="00BF1181" w:rsidRDefault="00BF1181" w:rsidP="00DA1002">
            <w:pPr>
              <w:tabs>
                <w:tab w:val="right" w:pos="989"/>
              </w:tabs>
            </w:pPr>
            <w:r w:rsidRPr="00BF1181">
              <w:t>$</w:t>
            </w:r>
            <w:r w:rsidRPr="00BF1181">
              <w:tab/>
            </w:r>
            <w:r w:rsidR="007B7F55">
              <w:t>220,539</w:t>
            </w:r>
          </w:p>
        </w:tc>
      </w:tr>
    </w:tbl>
    <w:p w14:paraId="180672C5" w14:textId="77777777" w:rsidR="00E1248A" w:rsidRPr="0009354D" w:rsidRDefault="00E1248A" w:rsidP="00E1248A"/>
    <w:p w14:paraId="095A890D" w14:textId="3E621891" w:rsidR="003F38DE" w:rsidRDefault="003F38DE" w:rsidP="003F38DE">
      <w:pPr>
        <w:rPr>
          <w:iCs/>
        </w:rPr>
      </w:pPr>
      <w:r>
        <w:t>Total grant revenues de</w:t>
      </w:r>
      <w:r w:rsidRPr="0009354D">
        <w:t>creased by $</w:t>
      </w:r>
      <w:r w:rsidR="0060521C">
        <w:t>81</w:t>
      </w:r>
      <w:r w:rsidR="004F3E9C">
        <w:t>,</w:t>
      </w:r>
      <w:r w:rsidR="0060521C">
        <w:t>526</w:t>
      </w:r>
      <w:r w:rsidRPr="0009354D">
        <w:t xml:space="preserve"> (</w:t>
      </w:r>
      <w:r>
        <w:t>100</w:t>
      </w:r>
      <w:r w:rsidRPr="0009354D">
        <w:t xml:space="preserve">%) </w:t>
      </w:r>
      <w:r>
        <w:t>f</w:t>
      </w:r>
      <w:r w:rsidRPr="0009354D">
        <w:t xml:space="preserve">or the three-month </w:t>
      </w:r>
      <w:r>
        <w:t>period ended</w:t>
      </w:r>
      <w:r w:rsidRPr="0009354D">
        <w:t xml:space="preserve"> </w:t>
      </w:r>
      <w:r w:rsidR="0060521C">
        <w:t>September</w:t>
      </w:r>
      <w:r>
        <w:t xml:space="preserve"> 30, 2022 and by $1</w:t>
      </w:r>
      <w:r w:rsidR="0060521C">
        <w:t>39,013</w:t>
      </w:r>
      <w:r>
        <w:t xml:space="preserve"> (</w:t>
      </w:r>
      <w:r w:rsidR="0060521C">
        <w:t>63</w:t>
      </w:r>
      <w:r w:rsidR="001E026B">
        <w:t>%)</w:t>
      </w:r>
      <w:r>
        <w:t xml:space="preserve"> </w:t>
      </w:r>
      <w:r w:rsidR="001E026B">
        <w:t xml:space="preserve">for the </w:t>
      </w:r>
      <w:r w:rsidR="0060521C">
        <w:t>nine</w:t>
      </w:r>
      <w:r w:rsidR="001E026B">
        <w:t xml:space="preserve">-month period ended </w:t>
      </w:r>
      <w:r w:rsidR="0060521C">
        <w:t>September</w:t>
      </w:r>
      <w:r w:rsidR="001E026B">
        <w:t xml:space="preserve"> 30, 2022, versus the comparable 2021 periods</w:t>
      </w:r>
      <w:r>
        <w:t>, attributable to the differing mix of active grants as shown in the table above, as well as the timing of expenditures related to such grants.</w:t>
      </w:r>
      <w:r w:rsidRPr="00BD41FD">
        <w:t xml:space="preserve"> </w:t>
      </w:r>
      <w:r>
        <w:t xml:space="preserve">As of </w:t>
      </w:r>
      <w:r w:rsidR="0060521C">
        <w:t>September</w:t>
      </w:r>
      <w:r>
        <w:t xml:space="preserve"> 3</w:t>
      </w:r>
      <w:r w:rsidR="001E026B">
        <w:t>0</w:t>
      </w:r>
      <w:r>
        <w:t xml:space="preserve">, 2022, all grant funds </w:t>
      </w:r>
      <w:r w:rsidR="001E026B">
        <w:t xml:space="preserve">approved for direct use by GeoVax </w:t>
      </w:r>
      <w:r>
        <w:t>have been utilized.</w:t>
      </w:r>
    </w:p>
    <w:p w14:paraId="2780CBE1" w14:textId="76180D25" w:rsidR="00E1248A" w:rsidRDefault="00E1248A" w:rsidP="00177E79">
      <w:pPr>
        <w:rPr>
          <w:iCs/>
        </w:rPr>
      </w:pPr>
    </w:p>
    <w:p w14:paraId="3D829912" w14:textId="34AB6A3F" w:rsidR="00177E79" w:rsidRPr="0009354D" w:rsidRDefault="00177E79" w:rsidP="00177E79">
      <w:pPr>
        <w:rPr>
          <w:i/>
          <w:iCs/>
        </w:rPr>
      </w:pPr>
      <w:r w:rsidRPr="008F13AC">
        <w:rPr>
          <w:i/>
          <w:iCs/>
        </w:rPr>
        <w:t>Research and Development Expenses</w:t>
      </w:r>
    </w:p>
    <w:p w14:paraId="7D4D2777" w14:textId="1C9F5129" w:rsidR="00177E79" w:rsidRDefault="00177E79" w:rsidP="00177E79"/>
    <w:p w14:paraId="0BDDBC15" w14:textId="54554219" w:rsidR="007247B2" w:rsidRDefault="000A37E8" w:rsidP="002C2BDB">
      <w:r w:rsidRPr="0009354D">
        <w:t xml:space="preserve">For the three-month and </w:t>
      </w:r>
      <w:r w:rsidR="0060521C">
        <w:t>nine</w:t>
      </w:r>
      <w:r w:rsidRPr="0009354D">
        <w:t>-month periods end</w:t>
      </w:r>
      <w:r w:rsidR="004F3E9C">
        <w:t>ed</w:t>
      </w:r>
      <w:r w:rsidRPr="0009354D">
        <w:t xml:space="preserve"> </w:t>
      </w:r>
      <w:r w:rsidR="0060521C">
        <w:t>September</w:t>
      </w:r>
      <w:r w:rsidRPr="0009354D">
        <w:t xml:space="preserve"> 30, 202</w:t>
      </w:r>
      <w:r>
        <w:t>2</w:t>
      </w:r>
      <w:r w:rsidRPr="0009354D">
        <w:t>, research and development expenses increased by $</w:t>
      </w:r>
      <w:r w:rsidR="0060521C">
        <w:t>1,496,834</w:t>
      </w:r>
      <w:r w:rsidRPr="0009354D">
        <w:t xml:space="preserve"> (</w:t>
      </w:r>
      <w:r w:rsidR="0060521C">
        <w:t>122</w:t>
      </w:r>
      <w:r w:rsidRPr="0009354D">
        <w:t>%) and $</w:t>
      </w:r>
      <w:r w:rsidR="0060521C">
        <w:t>2,698,937</w:t>
      </w:r>
      <w:r w:rsidRPr="0009354D">
        <w:t xml:space="preserve"> (</w:t>
      </w:r>
      <w:r w:rsidR="0060521C">
        <w:t>101</w:t>
      </w:r>
      <w:r w:rsidRPr="0009354D">
        <w:t xml:space="preserve">%), respectively, versus the </w:t>
      </w:r>
      <w:r w:rsidR="00C108A0">
        <w:t xml:space="preserve">comparable </w:t>
      </w:r>
      <w:r w:rsidRPr="0009354D">
        <w:t>202</w:t>
      </w:r>
      <w:r>
        <w:t>1</w:t>
      </w:r>
      <w:r w:rsidRPr="0009354D">
        <w:t xml:space="preserve"> periods</w:t>
      </w:r>
      <w:r w:rsidR="00C108A0">
        <w:t>.</w:t>
      </w:r>
      <w:r w:rsidRPr="0009354D">
        <w:t xml:space="preserve"> </w:t>
      </w:r>
      <w:r w:rsidR="00C108A0">
        <w:t>The overall increase during the 2022 periods relates primarily to higher personnel costs (including the use of external consultants), costs of conducting clinical trials for GEO-CM04S1 and Gedeptin, costs of manufacturing materials for use in our clinical trials, and a generally higher level of activity.</w:t>
      </w:r>
      <w:r w:rsidR="00D97F71">
        <w:t xml:space="preserve"> </w:t>
      </w:r>
      <w:r w:rsidRPr="0009354D">
        <w:t xml:space="preserve">Research and development expense for the three-month and </w:t>
      </w:r>
      <w:r w:rsidR="0060521C">
        <w:t>nine</w:t>
      </w:r>
      <w:r w:rsidRPr="0009354D">
        <w:t>-month periods of 202</w:t>
      </w:r>
      <w:r>
        <w:t>2</w:t>
      </w:r>
      <w:r w:rsidRPr="0009354D">
        <w:t xml:space="preserve"> included stock-based compensation expense of $</w:t>
      </w:r>
      <w:r w:rsidR="0060521C">
        <w:t>54,293</w:t>
      </w:r>
      <w:r w:rsidRPr="0009354D">
        <w:t xml:space="preserve"> and $</w:t>
      </w:r>
      <w:r w:rsidR="0060521C">
        <w:t>162,878</w:t>
      </w:r>
      <w:r w:rsidRPr="0009354D">
        <w:t xml:space="preserve">, respectively; </w:t>
      </w:r>
      <w:r>
        <w:t>as compared to $</w:t>
      </w:r>
      <w:r w:rsidR="0060521C">
        <w:t>21,468</w:t>
      </w:r>
      <w:r>
        <w:t xml:space="preserve"> and $</w:t>
      </w:r>
      <w:r w:rsidR="0060521C">
        <w:t>64,404</w:t>
      </w:r>
      <w:r>
        <w:t>, respectively, for the comparable 2021 periods</w:t>
      </w:r>
      <w:r w:rsidRPr="002968F1">
        <w:t>.</w:t>
      </w:r>
    </w:p>
    <w:p w14:paraId="667D6395" w14:textId="73623779" w:rsidR="000A37E8" w:rsidRDefault="000A37E8" w:rsidP="00177E79"/>
    <w:p w14:paraId="13F00CA6" w14:textId="77777777" w:rsidR="00177E79" w:rsidRPr="0009354D" w:rsidRDefault="00177E79" w:rsidP="00177E79">
      <w:pPr>
        <w:rPr>
          <w:i/>
          <w:iCs/>
        </w:rPr>
      </w:pPr>
      <w:r w:rsidRPr="0009354D">
        <w:rPr>
          <w:i/>
          <w:iCs/>
        </w:rPr>
        <w:t>General and Administrative Expenses</w:t>
      </w:r>
    </w:p>
    <w:p w14:paraId="1C9983C1" w14:textId="77777777" w:rsidR="000A37E8" w:rsidRDefault="000A37E8" w:rsidP="00177E79"/>
    <w:p w14:paraId="377DE6D3" w14:textId="3C094BEC" w:rsidR="00D97F71" w:rsidRDefault="000A37E8" w:rsidP="000A37E8">
      <w:bookmarkStart w:id="33" w:name="_Hlk108707578"/>
      <w:r w:rsidRPr="0009354D">
        <w:t xml:space="preserve">For the three-month and </w:t>
      </w:r>
      <w:r w:rsidR="0060521C">
        <w:t>nine</w:t>
      </w:r>
      <w:r w:rsidRPr="0009354D">
        <w:t>-month periods end</w:t>
      </w:r>
      <w:r w:rsidR="004F3E9C">
        <w:t>ed</w:t>
      </w:r>
      <w:r w:rsidRPr="0009354D">
        <w:t xml:space="preserve"> </w:t>
      </w:r>
      <w:r w:rsidR="0060521C">
        <w:t>September</w:t>
      </w:r>
      <w:r w:rsidRPr="0009354D">
        <w:t xml:space="preserve"> 30, 202</w:t>
      </w:r>
      <w:r>
        <w:t>2</w:t>
      </w:r>
      <w:bookmarkEnd w:id="33"/>
      <w:r w:rsidRPr="0009354D">
        <w:t>, general and administrative expenses increased by $</w:t>
      </w:r>
      <w:r w:rsidR="0060521C">
        <w:t>4</w:t>
      </w:r>
      <w:r w:rsidR="00142598">
        <w:t>9</w:t>
      </w:r>
      <w:r w:rsidR="0060521C">
        <w:t>1,905</w:t>
      </w:r>
      <w:r w:rsidRPr="0009354D">
        <w:t xml:space="preserve"> (</w:t>
      </w:r>
      <w:r w:rsidR="0060521C">
        <w:t>6</w:t>
      </w:r>
      <w:r w:rsidR="00142598">
        <w:t>5</w:t>
      </w:r>
      <w:r w:rsidRPr="0009354D">
        <w:t>%) and $</w:t>
      </w:r>
      <w:r w:rsidR="00142598">
        <w:t>801</w:t>
      </w:r>
      <w:r w:rsidR="0060521C">
        <w:t>,031</w:t>
      </w:r>
      <w:r w:rsidRPr="0009354D">
        <w:t xml:space="preserve"> (</w:t>
      </w:r>
      <w:r w:rsidR="0060521C">
        <w:t>3</w:t>
      </w:r>
      <w:r w:rsidR="00142598">
        <w:t>1</w:t>
      </w:r>
      <w:r w:rsidRPr="0009354D">
        <w:t>%), respectively</w:t>
      </w:r>
      <w:r>
        <w:t xml:space="preserve">, versus the </w:t>
      </w:r>
      <w:r w:rsidR="00C108A0">
        <w:t xml:space="preserve">comparable </w:t>
      </w:r>
      <w:r>
        <w:t>2021 periods</w:t>
      </w:r>
      <w:r w:rsidR="006B0127">
        <w:t>.</w:t>
      </w:r>
      <w:r w:rsidRPr="0009354D">
        <w:t xml:space="preserve"> </w:t>
      </w:r>
      <w:r w:rsidR="00351AC8">
        <w:t>The overall increase during the 2022 periods relates primarily to higher personnel costs (including the use of external consultants), patent costs</w:t>
      </w:r>
      <w:r w:rsidR="0002391E">
        <w:t>, investor relations consulting costs,</w:t>
      </w:r>
      <w:r w:rsidR="00351AC8">
        <w:t xml:space="preserve"> and travel expenses.</w:t>
      </w:r>
      <w:r w:rsidR="006B0127" w:rsidRPr="006B0127">
        <w:t xml:space="preserve"> </w:t>
      </w:r>
      <w:r w:rsidR="006B0127" w:rsidRPr="0009354D">
        <w:t xml:space="preserve">General and administrative expense for the three-month and </w:t>
      </w:r>
      <w:r w:rsidR="004F3E9C">
        <w:t>nine</w:t>
      </w:r>
      <w:r w:rsidR="006B0127" w:rsidRPr="0009354D">
        <w:t>-month periods of 202</w:t>
      </w:r>
      <w:r w:rsidR="006B0127">
        <w:t>2</w:t>
      </w:r>
      <w:r w:rsidR="006B0127" w:rsidRPr="0009354D">
        <w:t xml:space="preserve"> included stock-based compensation expense of $</w:t>
      </w:r>
      <w:r w:rsidR="0060521C">
        <w:t>18</w:t>
      </w:r>
      <w:r w:rsidR="0002391E">
        <w:t>4</w:t>
      </w:r>
      <w:r w:rsidR="0060521C">
        <w:t>,27</w:t>
      </w:r>
      <w:r w:rsidR="0002391E">
        <w:t>3</w:t>
      </w:r>
      <w:r w:rsidR="006B0127" w:rsidRPr="0009354D">
        <w:t xml:space="preserve"> and $</w:t>
      </w:r>
      <w:r w:rsidR="0060521C">
        <w:t>488,017</w:t>
      </w:r>
      <w:r w:rsidR="006B0127" w:rsidRPr="0009354D">
        <w:t>, respectively; as compared to $</w:t>
      </w:r>
      <w:r w:rsidR="0060521C">
        <w:t>64,282</w:t>
      </w:r>
      <w:r w:rsidR="006B0127" w:rsidRPr="0009354D">
        <w:t xml:space="preserve"> and $</w:t>
      </w:r>
      <w:r w:rsidR="0060521C">
        <w:t>184,899</w:t>
      </w:r>
      <w:r w:rsidR="006B0127" w:rsidRPr="0009354D">
        <w:t>, respectively, for the comparable periods of 202</w:t>
      </w:r>
      <w:r w:rsidR="006B0127">
        <w:t>1</w:t>
      </w:r>
      <w:r w:rsidR="006B0127" w:rsidRPr="0009354D">
        <w:t>.</w:t>
      </w:r>
    </w:p>
    <w:p w14:paraId="651228BA" w14:textId="77777777" w:rsidR="00945DB9" w:rsidRPr="0009354D" w:rsidRDefault="00945DB9" w:rsidP="00177E79">
      <w:pPr>
        <w:rPr>
          <w:color w:val="000000"/>
        </w:rPr>
      </w:pPr>
    </w:p>
    <w:p w14:paraId="00E3DE76" w14:textId="77777777" w:rsidR="00177E79" w:rsidRPr="0009354D" w:rsidRDefault="00177E79" w:rsidP="00177E79">
      <w:pPr>
        <w:rPr>
          <w:i/>
          <w:iCs/>
        </w:rPr>
      </w:pPr>
      <w:r w:rsidRPr="0009354D">
        <w:rPr>
          <w:i/>
          <w:iCs/>
        </w:rPr>
        <w:t>Other Income (Expense)</w:t>
      </w:r>
    </w:p>
    <w:p w14:paraId="7E6FF04A" w14:textId="46FAA88C" w:rsidR="00177E79" w:rsidRDefault="00177E79" w:rsidP="00177E79"/>
    <w:p w14:paraId="19E102BF" w14:textId="0CA6FFE2" w:rsidR="005D251A" w:rsidRPr="0009354D" w:rsidRDefault="005D251A" w:rsidP="005D251A">
      <w:r w:rsidRPr="0009354D">
        <w:t xml:space="preserve">Interest income for the three-month and </w:t>
      </w:r>
      <w:r w:rsidR="0060521C">
        <w:t>nine</w:t>
      </w:r>
      <w:r w:rsidRPr="0009354D">
        <w:t xml:space="preserve">-month periods ended </w:t>
      </w:r>
      <w:r w:rsidR="0060521C">
        <w:t>September</w:t>
      </w:r>
      <w:r w:rsidRPr="0009354D">
        <w:t xml:space="preserve"> 30, 202</w:t>
      </w:r>
      <w:r>
        <w:t>2</w:t>
      </w:r>
      <w:r w:rsidRPr="0009354D">
        <w:t xml:space="preserve"> was $</w:t>
      </w:r>
      <w:r w:rsidR="0060521C">
        <w:t>2,431</w:t>
      </w:r>
      <w:r w:rsidRPr="0009354D">
        <w:t xml:space="preserve"> and $</w:t>
      </w:r>
      <w:r w:rsidR="0060521C">
        <w:t>877</w:t>
      </w:r>
      <w:r w:rsidRPr="0009354D">
        <w:t>, respectively, as compared to $</w:t>
      </w:r>
      <w:r w:rsidR="0060521C">
        <w:t>3,747</w:t>
      </w:r>
      <w:r w:rsidRPr="0009354D">
        <w:t xml:space="preserve"> and $</w:t>
      </w:r>
      <w:r w:rsidR="0060521C">
        <w:t>3,998</w:t>
      </w:r>
      <w:r w:rsidRPr="0009354D">
        <w:t>, respectively, for comparable periods of 202</w:t>
      </w:r>
      <w:r>
        <w:t>1</w:t>
      </w:r>
      <w:r w:rsidRPr="0009354D">
        <w:t xml:space="preserve">. The variances between periods are primarily attributable to cash available for investment and interest rate fluctuations. </w:t>
      </w:r>
    </w:p>
    <w:p w14:paraId="68331673" w14:textId="77777777" w:rsidR="005D251A" w:rsidRPr="0009354D" w:rsidRDefault="005D251A" w:rsidP="005D251A"/>
    <w:p w14:paraId="0AF13B68" w14:textId="1BE4B4A4" w:rsidR="005D251A" w:rsidRPr="0009354D" w:rsidRDefault="005D251A" w:rsidP="005D251A">
      <w:r>
        <w:t xml:space="preserve">No interest expense was recorded during the </w:t>
      </w:r>
      <w:r w:rsidRPr="0009354D">
        <w:t xml:space="preserve">three-month and </w:t>
      </w:r>
      <w:r w:rsidR="0060521C">
        <w:t>nine</w:t>
      </w:r>
      <w:r w:rsidRPr="0009354D">
        <w:t xml:space="preserve">-month periods ended </w:t>
      </w:r>
      <w:r w:rsidR="0060521C">
        <w:t>September</w:t>
      </w:r>
      <w:r w:rsidRPr="0009354D">
        <w:t xml:space="preserve"> 30, 202</w:t>
      </w:r>
      <w:r>
        <w:t xml:space="preserve">2. </w:t>
      </w:r>
      <w:r w:rsidRPr="0009354D">
        <w:t xml:space="preserve">Interest expense for the </w:t>
      </w:r>
      <w:bookmarkStart w:id="34" w:name="_Hlk108532423"/>
      <w:r w:rsidRPr="0009354D">
        <w:t xml:space="preserve">three-month and </w:t>
      </w:r>
      <w:r w:rsidR="0060521C">
        <w:t>nine</w:t>
      </w:r>
      <w:r w:rsidRPr="0009354D">
        <w:t xml:space="preserve">-month periods ended </w:t>
      </w:r>
      <w:r w:rsidR="0060521C">
        <w:t>September</w:t>
      </w:r>
      <w:r w:rsidRPr="0009354D">
        <w:t xml:space="preserve"> 30, 2021</w:t>
      </w:r>
      <w:bookmarkEnd w:id="34"/>
      <w:r w:rsidRPr="0009354D">
        <w:t xml:space="preserve"> was $</w:t>
      </w:r>
      <w:r w:rsidR="0060521C">
        <w:t>-0-</w:t>
      </w:r>
      <w:r w:rsidRPr="0009354D">
        <w:t xml:space="preserve"> and $1,286, respectively.</w:t>
      </w:r>
    </w:p>
    <w:p w14:paraId="6380C165" w14:textId="77777777" w:rsidR="005D251A" w:rsidRPr="0009354D" w:rsidRDefault="005D251A" w:rsidP="005D251A"/>
    <w:p w14:paraId="5D883DDF" w14:textId="6E1DE1E2" w:rsidR="005D251A" w:rsidRPr="0009354D" w:rsidRDefault="005D251A" w:rsidP="005D251A">
      <w:r w:rsidRPr="0009354D">
        <w:t xml:space="preserve">During the </w:t>
      </w:r>
      <w:r w:rsidR="001E4E5D">
        <w:t>nine</w:t>
      </w:r>
      <w:r>
        <w:t xml:space="preserve">-month </w:t>
      </w:r>
      <w:r w:rsidRPr="0009354D">
        <w:t xml:space="preserve">period ended </w:t>
      </w:r>
      <w:r w:rsidR="001E4E5D">
        <w:t>September</w:t>
      </w:r>
      <w:r w:rsidRPr="0009354D">
        <w:t xml:space="preserve"> 30, 2021, we recorded a $172,056 </w:t>
      </w:r>
      <w:r>
        <w:t xml:space="preserve">one-time </w:t>
      </w:r>
      <w:r w:rsidRPr="0009354D">
        <w:t xml:space="preserve">gain on debt extinguishment associated with the forgiveness of </w:t>
      </w:r>
      <w:r w:rsidR="005A7B56">
        <w:t>the</w:t>
      </w:r>
      <w:r w:rsidRPr="0009354D">
        <w:t xml:space="preserve"> principal and accrued interest</w:t>
      </w:r>
      <w:r w:rsidR="005A7B56">
        <w:t xml:space="preserve"> related to our Paycheck Protection Program (PPP) loan.</w:t>
      </w:r>
    </w:p>
    <w:p w14:paraId="74E239F2" w14:textId="77777777" w:rsidR="00A87862" w:rsidRPr="0009354D" w:rsidRDefault="00A87862" w:rsidP="00177E79"/>
    <w:p w14:paraId="03C5151D" w14:textId="6BB01495" w:rsidR="00177E79" w:rsidRPr="0009354D" w:rsidRDefault="00177E79" w:rsidP="00177E79">
      <w:pPr>
        <w:rPr>
          <w:rFonts w:eastAsia="????"/>
          <w:b/>
        </w:rPr>
      </w:pPr>
      <w:r w:rsidRPr="0009354D">
        <w:rPr>
          <w:rFonts w:eastAsia="????"/>
          <w:b/>
        </w:rPr>
        <w:t>Liquidit</w:t>
      </w:r>
      <w:r w:rsidR="0016138B">
        <w:rPr>
          <w:rFonts w:eastAsia="????"/>
          <w:b/>
        </w:rPr>
        <w:t xml:space="preserve">y, </w:t>
      </w:r>
      <w:r w:rsidRPr="0009354D">
        <w:rPr>
          <w:rFonts w:eastAsia="????"/>
          <w:b/>
        </w:rPr>
        <w:t>Capital Resources</w:t>
      </w:r>
      <w:r w:rsidR="0016138B">
        <w:rPr>
          <w:rFonts w:eastAsia="????"/>
          <w:b/>
        </w:rPr>
        <w:t xml:space="preserve"> and Cash Flows</w:t>
      </w:r>
    </w:p>
    <w:p w14:paraId="413CD1FC" w14:textId="77777777" w:rsidR="00177E79" w:rsidRPr="0009354D" w:rsidRDefault="00177E79" w:rsidP="00177E79"/>
    <w:p w14:paraId="55508F55" w14:textId="76DAD2AA" w:rsidR="00177E79" w:rsidRPr="0009354D" w:rsidRDefault="00177E79" w:rsidP="00177E79">
      <w:r w:rsidRPr="0009354D">
        <w:t xml:space="preserve">The following tables summarize our liquidity and capital resources as of </w:t>
      </w:r>
      <w:r w:rsidR="001E4E5D">
        <w:t>September</w:t>
      </w:r>
      <w:r w:rsidRPr="0009354D">
        <w:t xml:space="preserve"> 3</w:t>
      </w:r>
      <w:r w:rsidR="00B009EF">
        <w:t>0</w:t>
      </w:r>
      <w:r w:rsidR="00224660">
        <w:t>,</w:t>
      </w:r>
      <w:r w:rsidRPr="0009354D">
        <w:t xml:space="preserve"> 202</w:t>
      </w:r>
      <w:r w:rsidR="00224660">
        <w:t>2</w:t>
      </w:r>
      <w:r w:rsidRPr="0009354D">
        <w:t xml:space="preserve"> and December 31, 202</w:t>
      </w:r>
      <w:r w:rsidR="00224660">
        <w:t>1</w:t>
      </w:r>
      <w:r w:rsidRPr="0009354D">
        <w:t xml:space="preserve">, and our cash flows for the </w:t>
      </w:r>
      <w:r w:rsidR="001E4E5D">
        <w:t>nine</w:t>
      </w:r>
      <w:r w:rsidRPr="0009354D">
        <w:t xml:space="preserve">-month periods ended </w:t>
      </w:r>
      <w:r w:rsidR="001E4E5D">
        <w:t>September</w:t>
      </w:r>
      <w:r w:rsidRPr="0009354D">
        <w:t xml:space="preserve"> 3</w:t>
      </w:r>
      <w:r w:rsidR="00B009EF">
        <w:t>0</w:t>
      </w:r>
      <w:r w:rsidRPr="0009354D">
        <w:t>, 202</w:t>
      </w:r>
      <w:r w:rsidR="00224660">
        <w:t>2</w:t>
      </w:r>
      <w:r w:rsidRPr="0009354D">
        <w:t xml:space="preserve"> and 202</w:t>
      </w:r>
      <w:r w:rsidR="00224660">
        <w:t>1</w:t>
      </w:r>
      <w:r w:rsidRPr="0009354D">
        <w:t>:</w:t>
      </w:r>
    </w:p>
    <w:p w14:paraId="0E97811B" w14:textId="77777777" w:rsidR="00177E79" w:rsidRPr="0009354D"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75EC65FA" w14:textId="77777777" w:rsidTr="002741E2">
        <w:tc>
          <w:tcPr>
            <w:tcW w:w="3870" w:type="dxa"/>
            <w:tcBorders>
              <w:bottom w:val="single" w:sz="4" w:space="0" w:color="auto"/>
            </w:tcBorders>
          </w:tcPr>
          <w:p w14:paraId="65409863" w14:textId="77777777" w:rsidR="00177E79" w:rsidRPr="0009354D" w:rsidRDefault="00177E79" w:rsidP="002741E2">
            <w:pPr>
              <w:tabs>
                <w:tab w:val="right" w:pos="9180"/>
              </w:tabs>
              <w:ind w:right="-360"/>
            </w:pPr>
            <w:r w:rsidRPr="0009354D">
              <w:t>Liquidity and Capital Resources</w:t>
            </w:r>
          </w:p>
        </w:tc>
        <w:tc>
          <w:tcPr>
            <w:tcW w:w="1008" w:type="dxa"/>
            <w:tcBorders>
              <w:bottom w:val="single" w:sz="4" w:space="0" w:color="auto"/>
            </w:tcBorders>
          </w:tcPr>
          <w:p w14:paraId="7A22F4EA"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2A1AA4E1" w14:textId="7EB9F431" w:rsidR="00177E79" w:rsidRPr="0009354D" w:rsidRDefault="000127CB" w:rsidP="002741E2">
            <w:pPr>
              <w:tabs>
                <w:tab w:val="right" w:pos="9180"/>
              </w:tabs>
              <w:ind w:right="-18"/>
              <w:jc w:val="center"/>
            </w:pPr>
            <w:r>
              <w:t>September</w:t>
            </w:r>
            <w:r w:rsidR="00177E79" w:rsidRPr="0009354D">
              <w:t xml:space="preserve"> 3</w:t>
            </w:r>
            <w:r w:rsidR="00B009EF">
              <w:t>0</w:t>
            </w:r>
            <w:r w:rsidR="00177E79" w:rsidRPr="0009354D">
              <w:t>, 202</w:t>
            </w:r>
            <w:r w:rsidR="00224660">
              <w:t>2</w:t>
            </w:r>
          </w:p>
        </w:tc>
        <w:tc>
          <w:tcPr>
            <w:tcW w:w="1836" w:type="dxa"/>
            <w:tcBorders>
              <w:bottom w:val="single" w:sz="4" w:space="0" w:color="auto"/>
            </w:tcBorders>
          </w:tcPr>
          <w:p w14:paraId="5B34068E" w14:textId="7C3B7080" w:rsidR="00177E79" w:rsidRPr="0009354D" w:rsidRDefault="00177E79" w:rsidP="002741E2">
            <w:pPr>
              <w:tabs>
                <w:tab w:val="right" w:pos="9180"/>
              </w:tabs>
              <w:ind w:right="-18"/>
              <w:jc w:val="center"/>
            </w:pPr>
            <w:r w:rsidRPr="0009354D">
              <w:t>December 31, 202</w:t>
            </w:r>
            <w:r w:rsidR="00224660">
              <w:t>1</w:t>
            </w:r>
          </w:p>
        </w:tc>
      </w:tr>
      <w:tr w:rsidR="00177E79" w:rsidRPr="0009354D" w14:paraId="601A43B2" w14:textId="77777777" w:rsidTr="002741E2">
        <w:tc>
          <w:tcPr>
            <w:tcW w:w="3870" w:type="dxa"/>
            <w:tcBorders>
              <w:top w:val="single" w:sz="4" w:space="0" w:color="auto"/>
            </w:tcBorders>
          </w:tcPr>
          <w:p w14:paraId="09111359" w14:textId="77777777" w:rsidR="00177E79" w:rsidRPr="0009354D" w:rsidRDefault="00177E79" w:rsidP="002741E2">
            <w:pPr>
              <w:tabs>
                <w:tab w:val="right" w:pos="9180"/>
              </w:tabs>
              <w:ind w:right="-360"/>
            </w:pPr>
            <w:r w:rsidRPr="0009354D">
              <w:t>Cash and cash equivalents</w:t>
            </w:r>
          </w:p>
        </w:tc>
        <w:tc>
          <w:tcPr>
            <w:tcW w:w="1008" w:type="dxa"/>
            <w:tcBorders>
              <w:top w:val="single" w:sz="4" w:space="0" w:color="auto"/>
            </w:tcBorders>
          </w:tcPr>
          <w:p w14:paraId="6F1FE39E" w14:textId="77777777" w:rsidR="00177E79" w:rsidRPr="0009354D" w:rsidRDefault="00177E79" w:rsidP="002741E2">
            <w:pPr>
              <w:tabs>
                <w:tab w:val="decimal" w:pos="1062"/>
                <w:tab w:val="right" w:pos="9180"/>
              </w:tabs>
              <w:ind w:right="-18"/>
            </w:pPr>
          </w:p>
        </w:tc>
        <w:tc>
          <w:tcPr>
            <w:tcW w:w="1836" w:type="dxa"/>
            <w:tcBorders>
              <w:top w:val="single" w:sz="4" w:space="0" w:color="auto"/>
            </w:tcBorders>
          </w:tcPr>
          <w:p w14:paraId="356C1DA2" w14:textId="207F65A3" w:rsidR="00177E79" w:rsidRPr="0009354D" w:rsidRDefault="00177E79" w:rsidP="002741E2">
            <w:pPr>
              <w:tabs>
                <w:tab w:val="decimal" w:pos="1317"/>
                <w:tab w:val="right" w:pos="9180"/>
              </w:tabs>
              <w:ind w:right="-18"/>
            </w:pPr>
            <w:r w:rsidRPr="0009354D">
              <w:t>$</w:t>
            </w:r>
            <w:r w:rsidRPr="0009354D">
              <w:tab/>
            </w:r>
            <w:r w:rsidR="00CB5CD0">
              <w:t>3</w:t>
            </w:r>
            <w:r w:rsidR="000127CB">
              <w:t>4,676,968</w:t>
            </w:r>
          </w:p>
        </w:tc>
        <w:tc>
          <w:tcPr>
            <w:tcW w:w="1836" w:type="dxa"/>
            <w:tcBorders>
              <w:top w:val="single" w:sz="4" w:space="0" w:color="auto"/>
            </w:tcBorders>
          </w:tcPr>
          <w:p w14:paraId="0FB9A5CC" w14:textId="4D631360" w:rsidR="00177E79" w:rsidRPr="0009354D" w:rsidRDefault="00177E79" w:rsidP="002741E2">
            <w:pPr>
              <w:tabs>
                <w:tab w:val="decimal" w:pos="1545"/>
                <w:tab w:val="right" w:pos="9180"/>
              </w:tabs>
              <w:ind w:right="-18"/>
            </w:pPr>
            <w:r w:rsidRPr="0009354D">
              <w:t>$</w:t>
            </w:r>
            <w:r w:rsidRPr="0009354D">
              <w:tab/>
            </w:r>
            <w:r w:rsidR="00224660">
              <w:t>11,423,870</w:t>
            </w:r>
          </w:p>
        </w:tc>
      </w:tr>
      <w:tr w:rsidR="00177E79" w:rsidRPr="0009354D" w14:paraId="439262A6" w14:textId="77777777" w:rsidTr="002741E2">
        <w:tc>
          <w:tcPr>
            <w:tcW w:w="3870" w:type="dxa"/>
          </w:tcPr>
          <w:p w14:paraId="6AA3F388" w14:textId="77777777" w:rsidR="00177E79" w:rsidRPr="0009354D" w:rsidRDefault="00177E79" w:rsidP="002741E2">
            <w:pPr>
              <w:tabs>
                <w:tab w:val="right" w:pos="9180"/>
              </w:tabs>
              <w:ind w:right="-360"/>
            </w:pPr>
            <w:r w:rsidRPr="0009354D">
              <w:t>Working capital</w:t>
            </w:r>
          </w:p>
        </w:tc>
        <w:tc>
          <w:tcPr>
            <w:tcW w:w="1008" w:type="dxa"/>
          </w:tcPr>
          <w:p w14:paraId="2EC28984" w14:textId="77777777" w:rsidR="00177E79" w:rsidRPr="0009354D" w:rsidRDefault="00177E79" w:rsidP="002741E2">
            <w:pPr>
              <w:tabs>
                <w:tab w:val="decimal" w:pos="1062"/>
                <w:tab w:val="right" w:pos="9180"/>
              </w:tabs>
              <w:ind w:right="-18"/>
            </w:pPr>
          </w:p>
        </w:tc>
        <w:tc>
          <w:tcPr>
            <w:tcW w:w="1836" w:type="dxa"/>
          </w:tcPr>
          <w:p w14:paraId="78225003" w14:textId="4563C20F" w:rsidR="00177E79" w:rsidRPr="0009354D" w:rsidRDefault="00177E79" w:rsidP="002741E2">
            <w:pPr>
              <w:tabs>
                <w:tab w:val="decimal" w:pos="1317"/>
                <w:tab w:val="right" w:pos="9180"/>
              </w:tabs>
              <w:ind w:right="-18"/>
            </w:pPr>
            <w:r w:rsidRPr="0009354D">
              <w:tab/>
            </w:r>
            <w:r w:rsidR="000127CB">
              <w:t>31,3</w:t>
            </w:r>
            <w:r w:rsidR="00142598">
              <w:t>4</w:t>
            </w:r>
            <w:r w:rsidR="000127CB">
              <w:t>7,770</w:t>
            </w:r>
          </w:p>
        </w:tc>
        <w:tc>
          <w:tcPr>
            <w:tcW w:w="1836" w:type="dxa"/>
          </w:tcPr>
          <w:p w14:paraId="576472BB" w14:textId="6EE24003" w:rsidR="00177E79" w:rsidRPr="0009354D" w:rsidRDefault="00177E79" w:rsidP="002741E2">
            <w:pPr>
              <w:tabs>
                <w:tab w:val="decimal" w:pos="1545"/>
                <w:tab w:val="right" w:pos="9180"/>
              </w:tabs>
              <w:ind w:right="-18"/>
            </w:pPr>
            <w:r w:rsidRPr="0009354D">
              <w:tab/>
            </w:r>
            <w:r w:rsidR="00224660">
              <w:t>6,193,756</w:t>
            </w:r>
          </w:p>
        </w:tc>
      </w:tr>
    </w:tbl>
    <w:p w14:paraId="61DF57AA" w14:textId="77777777" w:rsidR="00177E79" w:rsidRDefault="00177E79" w:rsidP="00177E79"/>
    <w:tbl>
      <w:tblPr>
        <w:tblW w:w="8550" w:type="dxa"/>
        <w:tblLayout w:type="fixed"/>
        <w:tblLook w:val="01E0" w:firstRow="1" w:lastRow="1" w:firstColumn="1" w:lastColumn="1" w:noHBand="0" w:noVBand="0"/>
      </w:tblPr>
      <w:tblGrid>
        <w:gridCol w:w="3870"/>
        <w:gridCol w:w="1008"/>
        <w:gridCol w:w="1836"/>
        <w:gridCol w:w="1836"/>
      </w:tblGrid>
      <w:tr w:rsidR="00177E79" w:rsidRPr="0009354D" w14:paraId="292A6E40" w14:textId="77777777" w:rsidTr="002741E2">
        <w:tc>
          <w:tcPr>
            <w:tcW w:w="3870" w:type="dxa"/>
          </w:tcPr>
          <w:p w14:paraId="5032FB09" w14:textId="77777777" w:rsidR="00177E79" w:rsidRPr="0009354D" w:rsidRDefault="00177E79" w:rsidP="002741E2">
            <w:pPr>
              <w:tabs>
                <w:tab w:val="right" w:pos="9180"/>
              </w:tabs>
              <w:ind w:right="-360"/>
            </w:pPr>
          </w:p>
        </w:tc>
        <w:tc>
          <w:tcPr>
            <w:tcW w:w="1008" w:type="dxa"/>
          </w:tcPr>
          <w:p w14:paraId="4ED55FC9" w14:textId="77777777" w:rsidR="00177E79" w:rsidRPr="0009354D" w:rsidRDefault="00177E79" w:rsidP="002741E2">
            <w:pPr>
              <w:tabs>
                <w:tab w:val="right" w:pos="9180"/>
              </w:tabs>
              <w:ind w:right="-18"/>
              <w:jc w:val="center"/>
            </w:pPr>
          </w:p>
        </w:tc>
        <w:tc>
          <w:tcPr>
            <w:tcW w:w="3672" w:type="dxa"/>
            <w:gridSpan w:val="2"/>
            <w:tcBorders>
              <w:bottom w:val="single" w:sz="4" w:space="0" w:color="auto"/>
            </w:tcBorders>
          </w:tcPr>
          <w:p w14:paraId="6AC881DA" w14:textId="3AB6AE91" w:rsidR="00177E79" w:rsidRPr="0009354D" w:rsidRDefault="000127CB" w:rsidP="002741E2">
            <w:pPr>
              <w:tabs>
                <w:tab w:val="right" w:pos="9180"/>
              </w:tabs>
              <w:ind w:right="-18"/>
              <w:jc w:val="center"/>
            </w:pPr>
            <w:r>
              <w:t>Nine</w:t>
            </w:r>
            <w:r w:rsidR="00177E79" w:rsidRPr="0009354D">
              <w:t xml:space="preserve"> Months Ended </w:t>
            </w:r>
            <w:r>
              <w:t>September</w:t>
            </w:r>
            <w:r w:rsidR="00177E79" w:rsidRPr="0009354D">
              <w:t xml:space="preserve"> 3</w:t>
            </w:r>
            <w:r w:rsidR="00CB5CD0">
              <w:t>0</w:t>
            </w:r>
            <w:r w:rsidR="00177E79" w:rsidRPr="0009354D">
              <w:t>,</w:t>
            </w:r>
          </w:p>
        </w:tc>
      </w:tr>
      <w:tr w:rsidR="00177E79" w:rsidRPr="0009354D" w14:paraId="2B167BC6" w14:textId="77777777" w:rsidTr="002741E2">
        <w:tc>
          <w:tcPr>
            <w:tcW w:w="3870" w:type="dxa"/>
            <w:tcBorders>
              <w:bottom w:val="single" w:sz="4" w:space="0" w:color="auto"/>
            </w:tcBorders>
          </w:tcPr>
          <w:p w14:paraId="5BD45002" w14:textId="77777777" w:rsidR="00177E79" w:rsidRPr="0009354D" w:rsidRDefault="00177E79" w:rsidP="002741E2">
            <w:pPr>
              <w:tabs>
                <w:tab w:val="right" w:pos="9180"/>
              </w:tabs>
              <w:ind w:right="-360"/>
            </w:pPr>
            <w:r w:rsidRPr="0009354D">
              <w:t>Cash Flow Data</w:t>
            </w:r>
          </w:p>
        </w:tc>
        <w:tc>
          <w:tcPr>
            <w:tcW w:w="1008" w:type="dxa"/>
            <w:tcBorders>
              <w:bottom w:val="single" w:sz="4" w:space="0" w:color="auto"/>
            </w:tcBorders>
          </w:tcPr>
          <w:p w14:paraId="7B0E56DB" w14:textId="77777777" w:rsidR="00177E79" w:rsidRPr="0009354D" w:rsidRDefault="00177E79" w:rsidP="002741E2">
            <w:pPr>
              <w:tabs>
                <w:tab w:val="right" w:pos="9180"/>
              </w:tabs>
              <w:ind w:right="-18"/>
              <w:jc w:val="center"/>
            </w:pPr>
          </w:p>
        </w:tc>
        <w:tc>
          <w:tcPr>
            <w:tcW w:w="1836" w:type="dxa"/>
            <w:tcBorders>
              <w:bottom w:val="single" w:sz="4" w:space="0" w:color="auto"/>
            </w:tcBorders>
          </w:tcPr>
          <w:p w14:paraId="7027129B" w14:textId="1662856C" w:rsidR="00177E79" w:rsidRPr="0009354D" w:rsidRDefault="00177E79" w:rsidP="002741E2">
            <w:pPr>
              <w:tabs>
                <w:tab w:val="right" w:pos="9180"/>
              </w:tabs>
              <w:ind w:right="-18"/>
              <w:jc w:val="center"/>
            </w:pPr>
            <w:r w:rsidRPr="0009354D">
              <w:t>202</w:t>
            </w:r>
            <w:r w:rsidR="00224660">
              <w:t>2</w:t>
            </w:r>
          </w:p>
        </w:tc>
        <w:tc>
          <w:tcPr>
            <w:tcW w:w="1836" w:type="dxa"/>
            <w:tcBorders>
              <w:bottom w:val="single" w:sz="4" w:space="0" w:color="auto"/>
            </w:tcBorders>
          </w:tcPr>
          <w:p w14:paraId="2601B8AD" w14:textId="37661AC7" w:rsidR="00177E79" w:rsidRPr="0009354D" w:rsidRDefault="00177E79" w:rsidP="002741E2">
            <w:pPr>
              <w:tabs>
                <w:tab w:val="right" w:pos="9180"/>
              </w:tabs>
              <w:ind w:right="-18"/>
              <w:jc w:val="center"/>
            </w:pPr>
            <w:r w:rsidRPr="0009354D">
              <w:t>202</w:t>
            </w:r>
            <w:r w:rsidR="00224660">
              <w:t>1</w:t>
            </w:r>
          </w:p>
        </w:tc>
      </w:tr>
      <w:tr w:rsidR="00177E79" w:rsidRPr="0009354D" w14:paraId="1F561349" w14:textId="77777777" w:rsidTr="002741E2">
        <w:tc>
          <w:tcPr>
            <w:tcW w:w="3870" w:type="dxa"/>
          </w:tcPr>
          <w:p w14:paraId="189713E1" w14:textId="77777777" w:rsidR="00177E79" w:rsidRPr="0009354D" w:rsidRDefault="00177E79" w:rsidP="002741E2">
            <w:pPr>
              <w:tabs>
                <w:tab w:val="right" w:pos="9180"/>
              </w:tabs>
              <w:ind w:right="-360"/>
            </w:pPr>
            <w:r w:rsidRPr="0009354D">
              <w:t>Net cash provided by (used in):</w:t>
            </w:r>
          </w:p>
        </w:tc>
        <w:tc>
          <w:tcPr>
            <w:tcW w:w="1008" w:type="dxa"/>
          </w:tcPr>
          <w:p w14:paraId="76E25402" w14:textId="77777777" w:rsidR="00177E79" w:rsidRPr="0009354D" w:rsidRDefault="00177E79" w:rsidP="002741E2">
            <w:pPr>
              <w:tabs>
                <w:tab w:val="right" w:pos="9180"/>
              </w:tabs>
              <w:ind w:right="-18"/>
              <w:jc w:val="center"/>
            </w:pPr>
          </w:p>
        </w:tc>
        <w:tc>
          <w:tcPr>
            <w:tcW w:w="1836" w:type="dxa"/>
          </w:tcPr>
          <w:p w14:paraId="63BDD68C" w14:textId="77777777" w:rsidR="00177E79" w:rsidRPr="0009354D" w:rsidRDefault="00177E79" w:rsidP="002741E2">
            <w:pPr>
              <w:tabs>
                <w:tab w:val="right" w:pos="9180"/>
              </w:tabs>
              <w:ind w:right="-18"/>
              <w:jc w:val="center"/>
            </w:pPr>
          </w:p>
        </w:tc>
        <w:tc>
          <w:tcPr>
            <w:tcW w:w="1836" w:type="dxa"/>
          </w:tcPr>
          <w:p w14:paraId="04DCA296" w14:textId="77777777" w:rsidR="00177E79" w:rsidRPr="0009354D" w:rsidRDefault="00177E79" w:rsidP="002741E2">
            <w:pPr>
              <w:tabs>
                <w:tab w:val="right" w:pos="9180"/>
              </w:tabs>
              <w:ind w:right="-18"/>
              <w:jc w:val="center"/>
            </w:pPr>
          </w:p>
        </w:tc>
      </w:tr>
      <w:tr w:rsidR="00177E79" w:rsidRPr="0009354D" w14:paraId="24BCEC79" w14:textId="77777777" w:rsidTr="002741E2">
        <w:tc>
          <w:tcPr>
            <w:tcW w:w="3870" w:type="dxa"/>
          </w:tcPr>
          <w:p w14:paraId="442E933D" w14:textId="77777777" w:rsidR="00177E79" w:rsidRPr="0009354D" w:rsidRDefault="00177E79" w:rsidP="002741E2">
            <w:pPr>
              <w:tabs>
                <w:tab w:val="right" w:pos="9180"/>
              </w:tabs>
              <w:ind w:right="-360"/>
            </w:pPr>
            <w:r w:rsidRPr="0009354D">
              <w:t xml:space="preserve">     Operating activities</w:t>
            </w:r>
          </w:p>
        </w:tc>
        <w:tc>
          <w:tcPr>
            <w:tcW w:w="1008" w:type="dxa"/>
          </w:tcPr>
          <w:p w14:paraId="49D35C15" w14:textId="77777777" w:rsidR="00177E79" w:rsidRPr="0009354D" w:rsidRDefault="00177E79" w:rsidP="002741E2">
            <w:pPr>
              <w:tabs>
                <w:tab w:val="decimal" w:pos="1062"/>
                <w:tab w:val="right" w:pos="9180"/>
              </w:tabs>
              <w:ind w:right="-18"/>
            </w:pPr>
          </w:p>
        </w:tc>
        <w:tc>
          <w:tcPr>
            <w:tcW w:w="1836" w:type="dxa"/>
          </w:tcPr>
          <w:p w14:paraId="4C807210" w14:textId="1F188D4C" w:rsidR="00177E79" w:rsidRPr="0009354D" w:rsidRDefault="00177E79" w:rsidP="002741E2">
            <w:pPr>
              <w:tabs>
                <w:tab w:val="decimal" w:pos="1317"/>
                <w:tab w:val="right" w:pos="9180"/>
              </w:tabs>
              <w:ind w:right="-18"/>
            </w:pPr>
            <w:r w:rsidRPr="0009354D">
              <w:t>$</w:t>
            </w:r>
            <w:r w:rsidRPr="0009354D">
              <w:tab/>
            </w:r>
            <w:r w:rsidR="00E022F7">
              <w:t>(</w:t>
            </w:r>
            <w:r w:rsidR="000127CB">
              <w:t>11,96</w:t>
            </w:r>
            <w:r w:rsidR="00142598">
              <w:t>5</w:t>
            </w:r>
            <w:r w:rsidR="000127CB">
              <w:t>,972</w:t>
            </w:r>
            <w:r w:rsidR="00E022F7">
              <w:t>)</w:t>
            </w:r>
          </w:p>
        </w:tc>
        <w:tc>
          <w:tcPr>
            <w:tcW w:w="1836" w:type="dxa"/>
          </w:tcPr>
          <w:p w14:paraId="76A4A0E2" w14:textId="6E12114B" w:rsidR="00177E79" w:rsidRPr="0009354D" w:rsidRDefault="00177E79" w:rsidP="002741E2">
            <w:pPr>
              <w:tabs>
                <w:tab w:val="decimal" w:pos="1545"/>
                <w:tab w:val="right" w:pos="9180"/>
              </w:tabs>
              <w:ind w:right="-18"/>
            </w:pPr>
            <w:r w:rsidRPr="0009354D">
              <w:t>$</w:t>
            </w:r>
            <w:r w:rsidRPr="0009354D">
              <w:tab/>
            </w:r>
            <w:r w:rsidR="00E13787">
              <w:t>(</w:t>
            </w:r>
            <w:r w:rsidR="000127CB">
              <w:t>4,513,271</w:t>
            </w:r>
            <w:r w:rsidR="00E13787">
              <w:t>)</w:t>
            </w:r>
          </w:p>
        </w:tc>
      </w:tr>
      <w:tr w:rsidR="00177E79" w:rsidRPr="0009354D" w14:paraId="09AA2EBA" w14:textId="77777777" w:rsidTr="002741E2">
        <w:tc>
          <w:tcPr>
            <w:tcW w:w="3870" w:type="dxa"/>
          </w:tcPr>
          <w:p w14:paraId="7EC8A6DC" w14:textId="77777777" w:rsidR="00177E79" w:rsidRPr="0009354D" w:rsidRDefault="00177E79" w:rsidP="002741E2">
            <w:pPr>
              <w:tabs>
                <w:tab w:val="right" w:pos="9180"/>
              </w:tabs>
              <w:ind w:right="-360"/>
            </w:pPr>
            <w:r w:rsidRPr="0009354D">
              <w:t xml:space="preserve">     Investing activities</w:t>
            </w:r>
          </w:p>
        </w:tc>
        <w:tc>
          <w:tcPr>
            <w:tcW w:w="1008" w:type="dxa"/>
          </w:tcPr>
          <w:p w14:paraId="72B63C02" w14:textId="77777777" w:rsidR="00177E79" w:rsidRPr="0009354D" w:rsidRDefault="00177E79" w:rsidP="002741E2">
            <w:pPr>
              <w:tabs>
                <w:tab w:val="decimal" w:pos="1062"/>
                <w:tab w:val="right" w:pos="9180"/>
              </w:tabs>
              <w:ind w:right="-18"/>
            </w:pPr>
          </w:p>
        </w:tc>
        <w:tc>
          <w:tcPr>
            <w:tcW w:w="1836" w:type="dxa"/>
          </w:tcPr>
          <w:p w14:paraId="5428FCC1" w14:textId="05BD7C02" w:rsidR="00177E79" w:rsidRPr="0009354D" w:rsidRDefault="00177E79" w:rsidP="002741E2">
            <w:pPr>
              <w:tabs>
                <w:tab w:val="decimal" w:pos="1317"/>
                <w:tab w:val="right" w:pos="9180"/>
              </w:tabs>
              <w:ind w:right="-18"/>
            </w:pPr>
            <w:r w:rsidRPr="0009354D">
              <w:tab/>
            </w:r>
            <w:r w:rsidR="00E022F7">
              <w:t>(</w:t>
            </w:r>
            <w:r w:rsidR="000127CB">
              <w:t>134,258</w:t>
            </w:r>
            <w:r w:rsidR="00E022F7">
              <w:t>)</w:t>
            </w:r>
          </w:p>
        </w:tc>
        <w:tc>
          <w:tcPr>
            <w:tcW w:w="1836" w:type="dxa"/>
          </w:tcPr>
          <w:p w14:paraId="437564D6" w14:textId="2471043F" w:rsidR="00177E79" w:rsidRPr="0009354D" w:rsidRDefault="00177E79" w:rsidP="002741E2">
            <w:pPr>
              <w:tabs>
                <w:tab w:val="decimal" w:pos="1545"/>
                <w:tab w:val="right" w:pos="9180"/>
              </w:tabs>
              <w:ind w:right="-18"/>
            </w:pPr>
            <w:r w:rsidRPr="0009354D">
              <w:tab/>
            </w:r>
            <w:r w:rsidR="00CB5CD0">
              <w:t>(</w:t>
            </w:r>
            <w:r w:rsidR="000127CB">
              <w:t>47,718</w:t>
            </w:r>
            <w:r w:rsidR="00CB5CD0">
              <w:t>)</w:t>
            </w:r>
          </w:p>
        </w:tc>
      </w:tr>
      <w:tr w:rsidR="00177E79" w:rsidRPr="0009354D" w14:paraId="410F6FFF" w14:textId="77777777" w:rsidTr="002741E2">
        <w:tc>
          <w:tcPr>
            <w:tcW w:w="3870" w:type="dxa"/>
          </w:tcPr>
          <w:p w14:paraId="60CF45E6" w14:textId="77777777" w:rsidR="00177E79" w:rsidRPr="0009354D" w:rsidRDefault="00177E79" w:rsidP="002741E2">
            <w:pPr>
              <w:tabs>
                <w:tab w:val="right" w:pos="9180"/>
              </w:tabs>
              <w:ind w:right="-360"/>
            </w:pPr>
            <w:r w:rsidRPr="0009354D">
              <w:t xml:space="preserve">     Financing activities</w:t>
            </w:r>
          </w:p>
        </w:tc>
        <w:tc>
          <w:tcPr>
            <w:tcW w:w="1008" w:type="dxa"/>
          </w:tcPr>
          <w:p w14:paraId="0AB96877" w14:textId="77777777" w:rsidR="00177E79" w:rsidRPr="0009354D" w:rsidRDefault="00177E79" w:rsidP="002741E2">
            <w:pPr>
              <w:tabs>
                <w:tab w:val="decimal" w:pos="1044"/>
                <w:tab w:val="right" w:pos="9180"/>
              </w:tabs>
              <w:ind w:right="-18"/>
            </w:pPr>
          </w:p>
        </w:tc>
        <w:tc>
          <w:tcPr>
            <w:tcW w:w="1836" w:type="dxa"/>
            <w:tcBorders>
              <w:bottom w:val="single" w:sz="4" w:space="0" w:color="auto"/>
            </w:tcBorders>
          </w:tcPr>
          <w:p w14:paraId="05E963E4" w14:textId="73A9B1B3" w:rsidR="00177E79" w:rsidRPr="0009354D" w:rsidRDefault="00177E79" w:rsidP="002741E2">
            <w:pPr>
              <w:tabs>
                <w:tab w:val="decimal" w:pos="1317"/>
                <w:tab w:val="right" w:pos="9180"/>
              </w:tabs>
              <w:ind w:right="-18"/>
            </w:pPr>
            <w:r w:rsidRPr="0009354D">
              <w:tab/>
            </w:r>
            <w:r w:rsidR="000127CB">
              <w:t>35,353,328</w:t>
            </w:r>
          </w:p>
        </w:tc>
        <w:tc>
          <w:tcPr>
            <w:tcW w:w="1836" w:type="dxa"/>
            <w:tcBorders>
              <w:bottom w:val="single" w:sz="4" w:space="0" w:color="auto"/>
            </w:tcBorders>
          </w:tcPr>
          <w:p w14:paraId="65A9E051" w14:textId="690D8558" w:rsidR="00177E79" w:rsidRPr="0009354D" w:rsidRDefault="00177E79" w:rsidP="002741E2">
            <w:pPr>
              <w:tabs>
                <w:tab w:val="decimal" w:pos="1545"/>
                <w:tab w:val="right" w:pos="9180"/>
              </w:tabs>
              <w:ind w:right="-18"/>
            </w:pPr>
            <w:r w:rsidRPr="0009354D">
              <w:tab/>
            </w:r>
            <w:r w:rsidR="000127CB">
              <w:t>12,784,212</w:t>
            </w:r>
          </w:p>
        </w:tc>
      </w:tr>
      <w:tr w:rsidR="00177E79" w:rsidRPr="0009354D" w14:paraId="3D289392" w14:textId="77777777" w:rsidTr="002741E2">
        <w:tc>
          <w:tcPr>
            <w:tcW w:w="3870" w:type="dxa"/>
          </w:tcPr>
          <w:p w14:paraId="08486B0C" w14:textId="77777777" w:rsidR="00177E79" w:rsidRPr="0009354D" w:rsidRDefault="00177E79" w:rsidP="002741E2">
            <w:pPr>
              <w:tabs>
                <w:tab w:val="right" w:pos="9180"/>
              </w:tabs>
              <w:ind w:right="-360"/>
            </w:pPr>
            <w:r w:rsidRPr="0009354D">
              <w:t>Net increase in cash and cash equivalents</w:t>
            </w:r>
          </w:p>
        </w:tc>
        <w:tc>
          <w:tcPr>
            <w:tcW w:w="1008" w:type="dxa"/>
          </w:tcPr>
          <w:p w14:paraId="5D3F63EE" w14:textId="77777777" w:rsidR="00177E79" w:rsidRPr="0009354D" w:rsidRDefault="00177E79" w:rsidP="002741E2">
            <w:pPr>
              <w:tabs>
                <w:tab w:val="decimal" w:pos="1044"/>
                <w:tab w:val="right" w:pos="9180"/>
              </w:tabs>
              <w:ind w:right="-18"/>
            </w:pPr>
          </w:p>
        </w:tc>
        <w:tc>
          <w:tcPr>
            <w:tcW w:w="1836" w:type="dxa"/>
            <w:tcBorders>
              <w:top w:val="single" w:sz="4" w:space="0" w:color="auto"/>
              <w:bottom w:val="double" w:sz="4" w:space="0" w:color="auto"/>
            </w:tcBorders>
          </w:tcPr>
          <w:p w14:paraId="63E9809E" w14:textId="7FFF1563" w:rsidR="00177E79" w:rsidRPr="0009354D" w:rsidRDefault="00177E79" w:rsidP="002741E2">
            <w:pPr>
              <w:tabs>
                <w:tab w:val="decimal" w:pos="1317"/>
                <w:tab w:val="right" w:pos="9180"/>
              </w:tabs>
              <w:ind w:right="-18"/>
            </w:pPr>
            <w:r w:rsidRPr="0009354D">
              <w:t>$</w:t>
            </w:r>
            <w:r w:rsidRPr="0009354D">
              <w:tab/>
            </w:r>
            <w:r w:rsidR="000127CB">
              <w:t>23,253,098</w:t>
            </w:r>
          </w:p>
        </w:tc>
        <w:tc>
          <w:tcPr>
            <w:tcW w:w="1836" w:type="dxa"/>
            <w:tcBorders>
              <w:top w:val="single" w:sz="4" w:space="0" w:color="auto"/>
              <w:bottom w:val="double" w:sz="4" w:space="0" w:color="auto"/>
            </w:tcBorders>
          </w:tcPr>
          <w:p w14:paraId="0FF82177" w14:textId="4D869CE0" w:rsidR="00177E79" w:rsidRPr="0009354D" w:rsidRDefault="00177E79" w:rsidP="002741E2">
            <w:pPr>
              <w:tabs>
                <w:tab w:val="decimal" w:pos="1545"/>
                <w:tab w:val="right" w:pos="9180"/>
              </w:tabs>
              <w:ind w:right="-18"/>
            </w:pPr>
            <w:r w:rsidRPr="0009354D">
              <w:t>$</w:t>
            </w:r>
            <w:r w:rsidRPr="0009354D">
              <w:tab/>
            </w:r>
            <w:r w:rsidR="000127CB">
              <w:t>8,223,223</w:t>
            </w:r>
          </w:p>
        </w:tc>
      </w:tr>
    </w:tbl>
    <w:p w14:paraId="728EE72D" w14:textId="77777777" w:rsidR="00B13661" w:rsidRPr="0009354D" w:rsidRDefault="00B13661" w:rsidP="00177E79"/>
    <w:p w14:paraId="4149AEC3" w14:textId="4512BCB9" w:rsidR="00177E79" w:rsidRPr="0009354D" w:rsidRDefault="00177E79" w:rsidP="00177E79">
      <w:r w:rsidRPr="0009354D">
        <w:rPr>
          <w:i/>
          <w:iCs/>
        </w:rPr>
        <w:t>Operating Activities</w:t>
      </w:r>
      <w:r w:rsidRPr="0009354D">
        <w:t xml:space="preserve"> – Net cash used in operating activities of $</w:t>
      </w:r>
      <w:r w:rsidR="001E4E5D">
        <w:t>11,96</w:t>
      </w:r>
      <w:r w:rsidR="00142598">
        <w:t>5</w:t>
      </w:r>
      <w:r w:rsidR="001E4E5D">
        <w:t>,972</w:t>
      </w:r>
      <w:r w:rsidRPr="0009354D">
        <w:t xml:space="preserve"> for the </w:t>
      </w:r>
      <w:r w:rsidR="001E4E5D">
        <w:t>nine</w:t>
      </w:r>
      <w:r w:rsidRPr="0009354D">
        <w:t xml:space="preserve"> months ended </w:t>
      </w:r>
      <w:r w:rsidR="001E4E5D">
        <w:t>September</w:t>
      </w:r>
      <w:r w:rsidRPr="0009354D">
        <w:t xml:space="preserve"> 3</w:t>
      </w:r>
      <w:r w:rsidR="00CB5CD0">
        <w:t>0</w:t>
      </w:r>
      <w:r w:rsidRPr="0009354D">
        <w:t>, 202</w:t>
      </w:r>
      <w:r w:rsidR="00224660">
        <w:t>2</w:t>
      </w:r>
      <w:r w:rsidRPr="0009354D">
        <w:t>, was primarily due to our net loss of $</w:t>
      </w:r>
      <w:r w:rsidR="001E4E5D">
        <w:t>8,6</w:t>
      </w:r>
      <w:r w:rsidR="00142598">
        <w:t>3</w:t>
      </w:r>
      <w:r w:rsidR="001E4E5D">
        <w:t>7,316</w:t>
      </w:r>
      <w:r w:rsidRPr="0009354D">
        <w:t xml:space="preserve">, </w:t>
      </w:r>
      <w:r w:rsidR="00BC6B92">
        <w:t>as adjusted</w:t>
      </w:r>
      <w:r w:rsidR="00BC6B92" w:rsidRPr="0009354D">
        <w:t xml:space="preserve"> </w:t>
      </w:r>
      <w:r w:rsidRPr="0009354D">
        <w:t xml:space="preserve">by non-cash </w:t>
      </w:r>
      <w:r>
        <w:t>items</w:t>
      </w:r>
      <w:r w:rsidRPr="0009354D">
        <w:t xml:space="preserve"> such as depreciation</w:t>
      </w:r>
      <w:r>
        <w:t xml:space="preserve"> expense</w:t>
      </w:r>
      <w:r w:rsidR="00224660">
        <w:t xml:space="preserve"> and</w:t>
      </w:r>
      <w:r w:rsidRPr="0009354D">
        <w:t xml:space="preserve"> stock-based compensation expense, and by changes in our working capital accounts. Net cash used in operating activities of $</w:t>
      </w:r>
      <w:r w:rsidR="001E4E5D">
        <w:t>4,513,271</w:t>
      </w:r>
      <w:r w:rsidR="00224660">
        <w:t xml:space="preserve"> </w:t>
      </w:r>
      <w:r w:rsidRPr="0009354D">
        <w:t xml:space="preserve">for the </w:t>
      </w:r>
      <w:r w:rsidR="001E4E5D">
        <w:t>nine</w:t>
      </w:r>
      <w:r w:rsidRPr="0009354D">
        <w:t xml:space="preserve"> months ended </w:t>
      </w:r>
      <w:r w:rsidR="001E4E5D">
        <w:t>September</w:t>
      </w:r>
      <w:r w:rsidRPr="0009354D">
        <w:t xml:space="preserve"> 3</w:t>
      </w:r>
      <w:r w:rsidR="00CB5CD0">
        <w:t>0</w:t>
      </w:r>
      <w:r w:rsidRPr="0009354D">
        <w:t>, 202</w:t>
      </w:r>
      <w:r w:rsidR="00224660">
        <w:t>1</w:t>
      </w:r>
      <w:r w:rsidRPr="0009354D">
        <w:t>, was primarily due to our net loss of $</w:t>
      </w:r>
      <w:r w:rsidR="001E4E5D">
        <w:t>4,827,314</w:t>
      </w:r>
      <w:r w:rsidRPr="0009354D">
        <w:t xml:space="preserve">, </w:t>
      </w:r>
      <w:r w:rsidR="005A7B56">
        <w:t xml:space="preserve">also </w:t>
      </w:r>
      <w:r w:rsidR="00BC6B92">
        <w:t>adjusted</w:t>
      </w:r>
      <w:r w:rsidR="00BC6B92" w:rsidRPr="0009354D">
        <w:t xml:space="preserve"> </w:t>
      </w:r>
      <w:r w:rsidRPr="0009354D">
        <w:t>by non-cash charges such as depreciation and stock-based compensation expense, and by changes in our working capital accounts.</w:t>
      </w:r>
      <w:r w:rsidR="00224660">
        <w:t xml:space="preserve"> </w:t>
      </w:r>
    </w:p>
    <w:p w14:paraId="42C235A6" w14:textId="77777777" w:rsidR="00177E79" w:rsidRPr="0009354D" w:rsidRDefault="00177E79" w:rsidP="00177E79"/>
    <w:p w14:paraId="2F90EDBC" w14:textId="6ABD3C4E" w:rsidR="00177E79" w:rsidRPr="0009354D" w:rsidRDefault="00177E79" w:rsidP="00177E79">
      <w:r w:rsidRPr="0009354D">
        <w:rPr>
          <w:i/>
          <w:iCs/>
        </w:rPr>
        <w:t>Investing Activities</w:t>
      </w:r>
      <w:r w:rsidRPr="0009354D">
        <w:t xml:space="preserve"> – Net cash used in investing activities was $</w:t>
      </w:r>
      <w:r w:rsidR="001E4E5D">
        <w:t>134,258</w:t>
      </w:r>
      <w:r>
        <w:t xml:space="preserve"> and $</w:t>
      </w:r>
      <w:r w:rsidR="001E4E5D">
        <w:t>47,718</w:t>
      </w:r>
      <w:r w:rsidRPr="0009354D">
        <w:t xml:space="preserve"> for the </w:t>
      </w:r>
      <w:r w:rsidR="001E4E5D">
        <w:t>nine</w:t>
      </w:r>
      <w:r w:rsidRPr="0009354D">
        <w:t>-month period</w:t>
      </w:r>
      <w:r>
        <w:t>s</w:t>
      </w:r>
      <w:r w:rsidRPr="0009354D">
        <w:t xml:space="preserve"> ended </w:t>
      </w:r>
      <w:r w:rsidR="001E4E5D">
        <w:t>September</w:t>
      </w:r>
      <w:r w:rsidRPr="0009354D">
        <w:t> 3</w:t>
      </w:r>
      <w:r w:rsidR="00CB5CD0">
        <w:t>0</w:t>
      </w:r>
      <w:r w:rsidRPr="0009354D">
        <w:t>, 202</w:t>
      </w:r>
      <w:r w:rsidR="00224660">
        <w:t>2</w:t>
      </w:r>
      <w:r>
        <w:t xml:space="preserve"> and 202</w:t>
      </w:r>
      <w:r w:rsidR="00224660">
        <w:t>1</w:t>
      </w:r>
      <w:r>
        <w:t>, respectively,</w:t>
      </w:r>
      <w:r w:rsidRPr="0009354D">
        <w:t xml:space="preserve"> and relates </w:t>
      </w:r>
      <w:r w:rsidR="005A7B56">
        <w:t xml:space="preserve">primarily </w:t>
      </w:r>
      <w:r w:rsidRPr="0009354D">
        <w:t xml:space="preserve">to purchases of </w:t>
      </w:r>
      <w:r w:rsidR="009946C2">
        <w:t>laboratory</w:t>
      </w:r>
      <w:r w:rsidRPr="0009354D">
        <w:t xml:space="preserve"> equipment.</w:t>
      </w:r>
    </w:p>
    <w:p w14:paraId="65FD0343" w14:textId="77777777" w:rsidR="00177E79" w:rsidRPr="0009354D" w:rsidRDefault="00177E79" w:rsidP="00177E79"/>
    <w:p w14:paraId="67A9106F" w14:textId="16772FDE" w:rsidR="00BF0B1C" w:rsidRDefault="00177E79" w:rsidP="00177E79">
      <w:r w:rsidRPr="0009354D">
        <w:rPr>
          <w:i/>
          <w:iCs/>
        </w:rPr>
        <w:t>Financing Activities</w:t>
      </w:r>
      <w:r w:rsidRPr="0009354D">
        <w:t xml:space="preserve"> – </w:t>
      </w:r>
      <w:bookmarkStart w:id="35" w:name="_Hlk98343180"/>
      <w:r w:rsidRPr="0009354D">
        <w:t>Net cash provided by financing activities was $</w:t>
      </w:r>
      <w:r w:rsidR="001E4E5D">
        <w:t>35,353,328</w:t>
      </w:r>
      <w:r w:rsidRPr="0009354D">
        <w:t xml:space="preserve"> for the </w:t>
      </w:r>
      <w:r w:rsidR="001E4E5D">
        <w:t>nine</w:t>
      </w:r>
      <w:r w:rsidRPr="0009354D">
        <w:t xml:space="preserve">-month period ended </w:t>
      </w:r>
      <w:r w:rsidR="001E4E5D">
        <w:t>September</w:t>
      </w:r>
      <w:r w:rsidRPr="0009354D">
        <w:t> 3</w:t>
      </w:r>
      <w:r w:rsidR="00CB5CD0">
        <w:t>0</w:t>
      </w:r>
      <w:r w:rsidRPr="0009354D">
        <w:t>, 202</w:t>
      </w:r>
      <w:r w:rsidR="00A57C79">
        <w:t>2</w:t>
      </w:r>
      <w:r w:rsidRPr="0009354D">
        <w:t>, consist</w:t>
      </w:r>
      <w:r w:rsidR="00A57C79">
        <w:t>ing</w:t>
      </w:r>
      <w:r w:rsidRPr="0009354D">
        <w:t xml:space="preserve"> of </w:t>
      </w:r>
      <w:r w:rsidR="00EC15E7">
        <w:t xml:space="preserve">(i) </w:t>
      </w:r>
      <w:r w:rsidRPr="0009354D">
        <w:t>net proceeds</w:t>
      </w:r>
      <w:r w:rsidR="00EC15E7">
        <w:t xml:space="preserve"> of $27,727,194</w:t>
      </w:r>
      <w:r w:rsidRPr="0009354D">
        <w:t xml:space="preserve"> from </w:t>
      </w:r>
      <w:r w:rsidR="001E4E5D">
        <w:t>sales</w:t>
      </w:r>
      <w:r w:rsidRPr="0009354D">
        <w:t xml:space="preserve"> of our common stock</w:t>
      </w:r>
      <w:r w:rsidR="00E022F7">
        <w:t xml:space="preserve"> and warrants</w:t>
      </w:r>
      <w:bookmarkEnd w:id="35"/>
      <w:r w:rsidR="001E4E5D">
        <w:t xml:space="preserve">, and </w:t>
      </w:r>
      <w:r w:rsidR="00EC15E7">
        <w:t xml:space="preserve">(ii) net proceeds of $7,626,134 </w:t>
      </w:r>
      <w:r w:rsidR="001E4E5D">
        <w:t xml:space="preserve">from </w:t>
      </w:r>
      <w:r w:rsidR="00EC15E7">
        <w:t xml:space="preserve">the exercise of </w:t>
      </w:r>
      <w:r w:rsidR="001E4E5D">
        <w:t>warrants,</w:t>
      </w:r>
      <w:r w:rsidR="005A7B56">
        <w:rPr>
          <w:rFonts w:ascii="CG Times (WN)" w:hAnsi="CG Times (WN)"/>
        </w:rPr>
        <w:t xml:space="preserve"> as described in </w:t>
      </w:r>
      <w:r w:rsidR="005A7B56">
        <w:t xml:space="preserve">Note 5 to the </w:t>
      </w:r>
      <w:r w:rsidR="005A7B56" w:rsidRPr="0009354D">
        <w:rPr>
          <w:rFonts w:eastAsia="????"/>
        </w:rPr>
        <w:t>condensed consolidated financial statements included in this Quarterly Report</w:t>
      </w:r>
      <w:r w:rsidR="005A7B56">
        <w:rPr>
          <w:rFonts w:eastAsia="????"/>
        </w:rPr>
        <w:t>.</w:t>
      </w:r>
      <w:r w:rsidR="005A7B56" w:rsidRPr="0009354D">
        <w:t xml:space="preserve"> </w:t>
      </w:r>
      <w:r w:rsidR="00A57C79" w:rsidRPr="0009354D">
        <w:t>Net cash provided by financing activities was $</w:t>
      </w:r>
      <w:r w:rsidR="001E4E5D">
        <w:t>12,784,212</w:t>
      </w:r>
      <w:r w:rsidR="00A57C79" w:rsidRPr="0009354D">
        <w:t xml:space="preserve"> for the </w:t>
      </w:r>
      <w:r w:rsidR="001E4E5D">
        <w:t>nine</w:t>
      </w:r>
      <w:r w:rsidR="00A57C79" w:rsidRPr="0009354D">
        <w:t xml:space="preserve">-month period ended </w:t>
      </w:r>
      <w:r w:rsidR="001E4E5D">
        <w:t>September</w:t>
      </w:r>
      <w:r w:rsidR="00A57C79" w:rsidRPr="0009354D">
        <w:t> 3</w:t>
      </w:r>
      <w:r w:rsidR="00CB5CD0">
        <w:t>0</w:t>
      </w:r>
      <w:r w:rsidR="00A57C79" w:rsidRPr="0009354D">
        <w:t xml:space="preserve">, 2021, consisting of (i) net proceeds of $9,408,920 from </w:t>
      </w:r>
      <w:r w:rsidR="00A57C79">
        <w:t>a</w:t>
      </w:r>
      <w:r w:rsidR="00A57C79" w:rsidRPr="0009354D">
        <w:t xml:space="preserve"> public offering of our common stock, (ii) $</w:t>
      </w:r>
      <w:r w:rsidR="00E13787">
        <w:t>3,</w:t>
      </w:r>
      <w:r w:rsidR="001E4E5D">
        <w:t>404,156</w:t>
      </w:r>
      <w:r w:rsidR="00A57C79" w:rsidRPr="0009354D">
        <w:t xml:space="preserve"> of net proceeds from the exercise of warrants</w:t>
      </w:r>
      <w:r w:rsidR="00A57C79">
        <w:t xml:space="preserve">, </w:t>
      </w:r>
      <w:r w:rsidR="00A57C79" w:rsidRPr="0009354D">
        <w:t>and (i</w:t>
      </w:r>
      <w:r w:rsidR="00E13787">
        <w:t>ii</w:t>
      </w:r>
      <w:r w:rsidR="00A57C79" w:rsidRPr="0009354D">
        <w:t>) $</w:t>
      </w:r>
      <w:r w:rsidR="00FB467F">
        <w:t>2</w:t>
      </w:r>
      <w:r w:rsidR="00EC15E7">
        <w:t>8</w:t>
      </w:r>
      <w:r w:rsidR="00FB467F">
        <w:t>,864</w:t>
      </w:r>
      <w:r w:rsidR="00E13787">
        <w:t xml:space="preserve"> </w:t>
      </w:r>
      <w:r w:rsidR="00A57C79" w:rsidRPr="0009354D">
        <w:t xml:space="preserve">in principal repayments </w:t>
      </w:r>
      <w:r w:rsidR="005A7B56">
        <w:t>of</w:t>
      </w:r>
      <w:r w:rsidR="00A57C79" w:rsidRPr="0009354D">
        <w:t xml:space="preserve"> a note payable</w:t>
      </w:r>
      <w:r w:rsidR="00EC15E7">
        <w:rPr>
          <w:rFonts w:ascii="CG Times (WN)" w:hAnsi="CG Times (WN)"/>
        </w:rPr>
        <w:t xml:space="preserve"> and repurchase of preferred stock.</w:t>
      </w:r>
    </w:p>
    <w:p w14:paraId="7AF52AF6" w14:textId="77777777" w:rsidR="00BF0B1C" w:rsidRPr="0009354D" w:rsidRDefault="00BF0B1C" w:rsidP="00177E79"/>
    <w:p w14:paraId="03C04337" w14:textId="026007C6" w:rsidR="00177E79" w:rsidRPr="00491EB6" w:rsidRDefault="00177E79" w:rsidP="00177E79">
      <w:pPr>
        <w:rPr>
          <w:b/>
          <w:bCs/>
        </w:rPr>
      </w:pPr>
      <w:r w:rsidRPr="00530123">
        <w:rPr>
          <w:b/>
          <w:bCs/>
        </w:rPr>
        <w:t>Funding Requirements</w:t>
      </w:r>
    </w:p>
    <w:p w14:paraId="01DF4936" w14:textId="77777777" w:rsidR="00177E79" w:rsidRPr="0009354D" w:rsidRDefault="00177E79" w:rsidP="00177E79"/>
    <w:p w14:paraId="6D6A30A5" w14:textId="4567A0E9" w:rsidR="00A87862" w:rsidRDefault="00A87862" w:rsidP="00A87862">
      <w:r>
        <w:t xml:space="preserve">We have no products approved for commercial sale. We </w:t>
      </w:r>
      <w:r w:rsidRPr="00506B49">
        <w:t>do not expect to</w:t>
      </w:r>
      <w:r>
        <w:t xml:space="preserve"> </w:t>
      </w:r>
      <w:r w:rsidRPr="00506B49">
        <w:t>generate any meaningful</w:t>
      </w:r>
      <w:r>
        <w:t xml:space="preserve"> </w:t>
      </w:r>
      <w:r w:rsidRPr="00506B49">
        <w:t>revenue unless and</w:t>
      </w:r>
      <w:r>
        <w:t xml:space="preserve"> </w:t>
      </w:r>
      <w:r w:rsidRPr="00506B49">
        <w:t>until we obtain regulatory</w:t>
      </w:r>
      <w:r>
        <w:t xml:space="preserve"> </w:t>
      </w:r>
      <w:r w:rsidRPr="00506B49">
        <w:t>approval of and</w:t>
      </w:r>
      <w:r>
        <w:t xml:space="preserve"> </w:t>
      </w:r>
      <w:r w:rsidRPr="00506B49">
        <w:t>commercialize our product</w:t>
      </w:r>
      <w:r>
        <w:t xml:space="preserve"> </w:t>
      </w:r>
      <w:r w:rsidRPr="00506B49">
        <w:t>candidates. We</w:t>
      </w:r>
      <w:r>
        <w:t xml:space="preserve"> </w:t>
      </w:r>
      <w:r w:rsidRPr="00506B49">
        <w:t>do not</w:t>
      </w:r>
      <w:r>
        <w:t xml:space="preserve"> </w:t>
      </w:r>
      <w:r w:rsidRPr="00506B49">
        <w:t>know when,</w:t>
      </w:r>
      <w:r>
        <w:t xml:space="preserve"> </w:t>
      </w:r>
      <w:r w:rsidRPr="00506B49">
        <w:t>or if,</w:t>
      </w:r>
      <w:r>
        <w:t xml:space="preserve"> </w:t>
      </w:r>
      <w:r w:rsidRPr="00506B49">
        <w:t>this will occur.</w:t>
      </w:r>
      <w:r>
        <w:t xml:space="preserve"> As of</w:t>
      </w:r>
      <w:r w:rsidRPr="0009354D">
        <w:t xml:space="preserve"> </w:t>
      </w:r>
      <w:r w:rsidR="001E4E5D">
        <w:t>September</w:t>
      </w:r>
      <w:r w:rsidRPr="0009354D">
        <w:t xml:space="preserve"> 3</w:t>
      </w:r>
      <w:r>
        <w:t>0</w:t>
      </w:r>
      <w:r w:rsidRPr="0009354D">
        <w:t>, 202</w:t>
      </w:r>
      <w:r>
        <w:t>2</w:t>
      </w:r>
      <w:r w:rsidRPr="0009354D">
        <w:t xml:space="preserve">, we have </w:t>
      </w:r>
      <w:r>
        <w:t>an accumulated deficit of</w:t>
      </w:r>
      <w:r w:rsidRPr="0009354D">
        <w:t xml:space="preserve"> approximately $</w:t>
      </w:r>
      <w:r w:rsidR="001E4E5D">
        <w:t>73</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1DD91265" w14:textId="77777777" w:rsidR="00A87862" w:rsidRDefault="00A87862" w:rsidP="00A87862"/>
    <w:p w14:paraId="2BA36843" w14:textId="77777777" w:rsidR="00A87862" w:rsidRDefault="00A87862" w:rsidP="00A87862">
      <w:r w:rsidRPr="0009354D">
        <w:t>Our primary uses of capital are for personnel</w:t>
      </w:r>
      <w:r>
        <w:t xml:space="preserve"> costs</w:t>
      </w:r>
      <w:r w:rsidRPr="0009354D">
        <w:t>,</w:t>
      </w:r>
      <w:r>
        <w:t xml:space="preserve"> costs of conducting clinical trials,</w:t>
      </w:r>
      <w:r w:rsidRPr="0009354D">
        <w:t xml:space="preserve"> manufacturing costs for </w:t>
      </w:r>
      <w:r>
        <w:t>materials used in clinical trials</w:t>
      </w:r>
      <w:r w:rsidRPr="0009354D">
        <w:t xml:space="preserve">, third-party research services, laboratory and related supplies, </w:t>
      </w:r>
      <w:r>
        <w:t xml:space="preserve">technology license fees, </w:t>
      </w:r>
      <w:r w:rsidRPr="0009354D">
        <w:t xml:space="preserve">legal and other </w:t>
      </w:r>
      <w:r w:rsidRPr="0009354D">
        <w:lastRenderedPageBreak/>
        <w:t xml:space="preserve">regulatory expenses, and general overhead costs. We expect these costs will continue to be the primary operating capital requirements for the near future. </w:t>
      </w:r>
    </w:p>
    <w:p w14:paraId="36E39554" w14:textId="77777777" w:rsidR="00A87862" w:rsidRDefault="00A87862" w:rsidP="00A87862"/>
    <w:p w14:paraId="53E479D4" w14:textId="7ADEDBD2" w:rsidR="00A87862" w:rsidRDefault="00A87862" w:rsidP="00A87862">
      <w:r>
        <w:t>Our</w:t>
      </w:r>
      <w:r w:rsidRPr="0009354D">
        <w:t xml:space="preserve"> future expenditures are likely to be highly volatile in future periods depending on the outcomes of </w:t>
      </w:r>
      <w:r w:rsidR="00A5441A">
        <w:t>our</w:t>
      </w:r>
      <w:r w:rsidRPr="0009354D">
        <w:t xml:space="preserve"> </w:t>
      </w:r>
      <w:r w:rsidR="00A5441A">
        <w:t xml:space="preserve">clinical </w:t>
      </w:r>
      <w:r w:rsidRPr="0009354D">
        <w:t xml:space="preserve">trials and </w:t>
      </w:r>
      <w:r w:rsidR="00A5441A">
        <w:t xml:space="preserve">preclinical </w:t>
      </w:r>
      <w:r w:rsidRPr="0009354D">
        <w:t xml:space="preserve">studies. We expect our research and development costs to increase as we continue development of our various programs and as we move toward later stages of development, especially with regard to </w:t>
      </w:r>
      <w:r>
        <w:t xml:space="preserve">the ongoing </w:t>
      </w:r>
      <w:r w:rsidRPr="0009354D">
        <w:t>clinical trials</w:t>
      </w:r>
      <w:r>
        <w:t xml:space="preserve"> for Gedeptin and </w:t>
      </w:r>
      <w:r w:rsidR="00D12423">
        <w:t>G</w:t>
      </w:r>
      <w:r>
        <w:t>EO</w:t>
      </w:r>
      <w:r w:rsidR="00E35DD6">
        <w:t>-</w:t>
      </w:r>
      <w:r>
        <w:t>CM04S1. We expect our general and administrative expenses to increase commensurately in support of expanded research and development efforts.</w:t>
      </w:r>
    </w:p>
    <w:p w14:paraId="7F228A56" w14:textId="77777777" w:rsidR="00A87862" w:rsidRDefault="00A87862" w:rsidP="00A87862"/>
    <w:p w14:paraId="6B21FAA7" w14:textId="77777777" w:rsidR="00A87862" w:rsidRDefault="00A87862" w:rsidP="00A87862">
      <w:r>
        <w:t>As of the date of this Quarterly Report, we</w:t>
      </w:r>
      <w:r w:rsidRPr="0009354D">
        <w:t xml:space="preserve"> </w:t>
      </w:r>
      <w:r>
        <w:t>expect</w:t>
      </w:r>
      <w:r w:rsidRPr="0009354D">
        <w:t xml:space="preserve"> our existing cash and cash equivalents will be sufficient to </w:t>
      </w:r>
      <w:r>
        <w:t>fund our operations over at least the next twelve months</w:t>
      </w:r>
      <w:r w:rsidRPr="00644368">
        <w:t xml:space="preserve">. </w:t>
      </w:r>
    </w:p>
    <w:p w14:paraId="49E099AC" w14:textId="77777777" w:rsidR="00BF0B1C" w:rsidRDefault="00BF0B1C" w:rsidP="00A87862"/>
    <w:p w14:paraId="54054D12" w14:textId="77777777" w:rsidR="00A87862" w:rsidRDefault="00A87862" w:rsidP="00A87862">
      <w:r>
        <w:t>W</w:t>
      </w:r>
      <w:r w:rsidRPr="00313BE5">
        <w:t>e have</w:t>
      </w:r>
      <w:r>
        <w:t xml:space="preserve"> </w:t>
      </w:r>
      <w:r w:rsidRPr="00313BE5">
        <w:t>based our projections of operating capital</w:t>
      </w:r>
      <w:r>
        <w:t xml:space="preserve"> </w:t>
      </w:r>
      <w:r w:rsidRPr="00313BE5">
        <w:t>requirements on assumptions that may</w:t>
      </w:r>
      <w:r>
        <w:t xml:space="preserve"> </w:t>
      </w:r>
      <w:r w:rsidRPr="00313BE5">
        <w:t>prove to be incorrect, and we ma</w:t>
      </w:r>
      <w:r>
        <w:t xml:space="preserve">y </w:t>
      </w:r>
      <w:r w:rsidRPr="00313BE5">
        <w:t>use our available capital resources sooner than we expect. Our future capital</w:t>
      </w:r>
      <w:r>
        <w:t xml:space="preserve"> </w:t>
      </w:r>
      <w:r w:rsidRPr="00313BE5">
        <w:t>requirements will depend on many factors, which includ</w:t>
      </w:r>
      <w:r>
        <w:t>e but are not limited to:</w:t>
      </w:r>
    </w:p>
    <w:p w14:paraId="6A6A9363" w14:textId="77777777" w:rsidR="00A87862" w:rsidRDefault="00A87862" w:rsidP="00A87862">
      <w:pPr>
        <w:pStyle w:val="ListParagraph"/>
        <w:numPr>
          <w:ilvl w:val="0"/>
          <w:numId w:val="13"/>
        </w:numPr>
        <w:ind w:left="360"/>
      </w:pPr>
      <w:r>
        <w:t>the timing and costs of our ongoing and planned clinical trials;</w:t>
      </w:r>
    </w:p>
    <w:p w14:paraId="15A533BB" w14:textId="77777777" w:rsidR="00A87862" w:rsidRDefault="00A87862" w:rsidP="00A87862">
      <w:pPr>
        <w:pStyle w:val="ListParagraph"/>
        <w:numPr>
          <w:ilvl w:val="0"/>
          <w:numId w:val="13"/>
        </w:numPr>
        <w:ind w:left="360"/>
      </w:pPr>
      <w:r>
        <w:t>the timing and costs of manufacturing material for use in clinical trials;</w:t>
      </w:r>
    </w:p>
    <w:p w14:paraId="7DBE3C96" w14:textId="77777777" w:rsidR="00A87862" w:rsidRDefault="00A87862" w:rsidP="00A87862">
      <w:pPr>
        <w:pStyle w:val="ListParagraph"/>
        <w:numPr>
          <w:ilvl w:val="0"/>
          <w:numId w:val="13"/>
        </w:numPr>
        <w:ind w:left="360"/>
      </w:pPr>
      <w:r w:rsidRPr="0009354D">
        <w:t>the number and scope of our research programs</w:t>
      </w:r>
      <w:r>
        <w:t xml:space="preserve"> and the speed at which they are advanced</w:t>
      </w:r>
      <w:r w:rsidRPr="0009354D">
        <w:t xml:space="preserve">; </w:t>
      </w:r>
    </w:p>
    <w:p w14:paraId="0627346A" w14:textId="77777777" w:rsidR="00A87862" w:rsidRDefault="00A87862" w:rsidP="00A87862">
      <w:pPr>
        <w:pStyle w:val="ListParagraph"/>
        <w:numPr>
          <w:ilvl w:val="0"/>
          <w:numId w:val="13"/>
        </w:numPr>
        <w:ind w:left="360"/>
      </w:pPr>
      <w:r w:rsidRPr="0009354D">
        <w:t xml:space="preserve">the progress and success of our preclinical and clinical development activities; </w:t>
      </w:r>
    </w:p>
    <w:p w14:paraId="29128BF8" w14:textId="77777777" w:rsidR="00A87862" w:rsidRDefault="00A87862" w:rsidP="00A87862">
      <w:pPr>
        <w:pStyle w:val="ListParagraph"/>
        <w:numPr>
          <w:ilvl w:val="0"/>
          <w:numId w:val="13"/>
        </w:numPr>
        <w:ind w:left="360"/>
      </w:pPr>
      <w:r w:rsidRPr="0009354D">
        <w:t xml:space="preserve">the costs involved in prosecuting and enforcing patent claims and other intellectual property rights; </w:t>
      </w:r>
    </w:p>
    <w:p w14:paraId="47906B2E" w14:textId="77777777" w:rsidR="00A87862" w:rsidRDefault="00A87862" w:rsidP="00A87862">
      <w:pPr>
        <w:pStyle w:val="ListParagraph"/>
        <w:numPr>
          <w:ilvl w:val="0"/>
          <w:numId w:val="13"/>
        </w:numPr>
        <w:ind w:left="360"/>
      </w:pPr>
      <w:r>
        <w:t>the costs to attract and retain skilled personnel;</w:t>
      </w:r>
    </w:p>
    <w:p w14:paraId="0A6CA57F" w14:textId="77777777" w:rsidR="00A87862" w:rsidRDefault="00A87862" w:rsidP="00A87862">
      <w:pPr>
        <w:pStyle w:val="ListParagraph"/>
        <w:numPr>
          <w:ilvl w:val="0"/>
          <w:numId w:val="13"/>
        </w:numPr>
        <w:ind w:left="360"/>
      </w:pPr>
      <w:r>
        <w:t>the costs to maintain and expand our infrastructure to support our operations, our product development, and planned future commercialization efforts;</w:t>
      </w:r>
    </w:p>
    <w:p w14:paraId="0515AE31" w14:textId="77777777" w:rsidR="00A87862" w:rsidRDefault="00A87862" w:rsidP="00A87862">
      <w:pPr>
        <w:pStyle w:val="ListParagraph"/>
        <w:numPr>
          <w:ilvl w:val="0"/>
          <w:numId w:val="13"/>
        </w:numPr>
        <w:ind w:left="360"/>
      </w:pPr>
      <w:r w:rsidRPr="0009354D">
        <w:t xml:space="preserve">the terms and timing of establishing and maintaining collaborations, licenses and other similar arrangements; </w:t>
      </w:r>
    </w:p>
    <w:p w14:paraId="2BC831FE" w14:textId="77777777" w:rsidR="00A87862" w:rsidRDefault="00A87862" w:rsidP="00A87862">
      <w:pPr>
        <w:pStyle w:val="ListParagraph"/>
        <w:numPr>
          <w:ilvl w:val="0"/>
          <w:numId w:val="13"/>
        </w:numPr>
        <w:ind w:left="360"/>
      </w:pPr>
      <w:r w:rsidRPr="0009354D">
        <w:t xml:space="preserve">the costs associated with any products or technologies that we may in-license or acquire; and </w:t>
      </w:r>
    </w:p>
    <w:p w14:paraId="3A32ACD9" w14:textId="77777777" w:rsidR="00A87862" w:rsidRPr="0009354D" w:rsidRDefault="00A87862" w:rsidP="00A87862">
      <w:pPr>
        <w:pStyle w:val="ListParagraph"/>
        <w:numPr>
          <w:ilvl w:val="0"/>
          <w:numId w:val="13"/>
        </w:numPr>
        <w:ind w:left="360"/>
      </w:pPr>
      <w:r w:rsidRPr="0009354D">
        <w:t>the costs and timing of regulatory approvals.</w:t>
      </w:r>
    </w:p>
    <w:p w14:paraId="451DD6ED" w14:textId="77777777" w:rsidR="00A87862" w:rsidRPr="0009354D" w:rsidRDefault="00A87862" w:rsidP="00A87862"/>
    <w:p w14:paraId="24CB10A0" w14:textId="77777777" w:rsidR="00A87862" w:rsidRPr="0009354D" w:rsidRDefault="00A87862" w:rsidP="00A87862">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4A9F38FB" w14:textId="28FBC50A" w:rsidR="00D12423" w:rsidRDefault="00D12423">
      <w:r>
        <w:br w:type="page"/>
      </w:r>
    </w:p>
    <w:p w14:paraId="5DC2DF3B" w14:textId="77777777" w:rsidR="000A55AE" w:rsidRPr="003C73D3" w:rsidRDefault="000A55AE" w:rsidP="000A55AE"/>
    <w:p w14:paraId="7020D5CF" w14:textId="47EDC835" w:rsidR="00385703" w:rsidRDefault="00385703" w:rsidP="000A55AE">
      <w:pPr>
        <w:ind w:left="132"/>
        <w:rPr>
          <w:color w:val="000000"/>
          <w:sz w:val="2"/>
          <w:szCs w:val="2"/>
        </w:rPr>
      </w:pPr>
    </w:p>
    <w:p w14:paraId="4067366E" w14:textId="62067C5A" w:rsidR="00182CF3" w:rsidRPr="001C6303" w:rsidRDefault="0054260E" w:rsidP="000A55AE">
      <w:pPr>
        <w:pStyle w:val="Heading2"/>
        <w:numPr>
          <w:ilvl w:val="0"/>
          <w:numId w:val="0"/>
        </w:numPr>
        <w:tabs>
          <w:tab w:val="left" w:pos="1080"/>
        </w:tabs>
        <w:spacing w:after="0"/>
      </w:pPr>
      <w:bookmarkStart w:id="36" w:name="_Toc197922411"/>
      <w:r w:rsidRPr="001C6303">
        <w:rPr>
          <w:u w:val="none"/>
        </w:rPr>
        <w:t>Item 3</w:t>
      </w:r>
      <w:r w:rsidRPr="001C6303">
        <w:rPr>
          <w:u w:val="none"/>
        </w:rPr>
        <w:tab/>
      </w:r>
      <w:r w:rsidR="0035003D" w:rsidRPr="001C6303">
        <w:t>Quantitative and Qualitative Disclosures About Market Risk</w:t>
      </w:r>
      <w:bookmarkEnd w:id="36"/>
    </w:p>
    <w:p w14:paraId="2ABA84AD" w14:textId="77777777" w:rsidR="000A55AE" w:rsidRDefault="000A55AE" w:rsidP="000A55AE">
      <w:pPr>
        <w:pStyle w:val="BodyText"/>
        <w:spacing w:after="0"/>
        <w:rPr>
          <w:rFonts w:eastAsia="????"/>
        </w:rPr>
      </w:pPr>
    </w:p>
    <w:p w14:paraId="4D216AB8" w14:textId="77777777" w:rsidR="00052C14" w:rsidRDefault="00052C14" w:rsidP="00052C14">
      <w:pPr>
        <w:pStyle w:val="BodyText"/>
        <w:spacing w:after="0"/>
      </w:pPr>
      <w:r>
        <w:t>Not applicable to smaller reporting companies.</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7" w:name="_Toc197922412"/>
      <w:r w:rsidRPr="001C6303">
        <w:rPr>
          <w:u w:val="none"/>
        </w:rPr>
        <w:t>Item 4</w:t>
      </w:r>
      <w:r w:rsidRPr="001C6303">
        <w:rPr>
          <w:u w:val="none"/>
        </w:rPr>
        <w:tab/>
      </w:r>
      <w:r w:rsidR="00BD6BBE" w:rsidRPr="001C6303">
        <w:t>Controls and Procedures</w:t>
      </w:r>
      <w:bookmarkEnd w:id="37"/>
    </w:p>
    <w:p w14:paraId="5A74D2A9" w14:textId="1A625506"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6C60A263"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w:t>
      </w:r>
      <w:r w:rsidR="00925C68">
        <w:t>or</w:t>
      </w:r>
      <w:r w:rsidR="003467A5">
        <w:t xml:space="preserve">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93EB4D9" w14:textId="21EA094E" w:rsidR="00435BCD" w:rsidRDefault="00435BCD" w:rsidP="000A55AE">
      <w:pPr>
        <w:pStyle w:val="BodyText"/>
        <w:spacing w:after="0"/>
      </w:pPr>
    </w:p>
    <w:p w14:paraId="28521554" w14:textId="3778197A" w:rsidR="00141A8D" w:rsidRPr="00665E82" w:rsidRDefault="0098252B" w:rsidP="00141A8D">
      <w:pPr>
        <w:pStyle w:val="BodyText"/>
        <w:spacing w:after="0"/>
        <w:rPr>
          <w:bCs/>
        </w:rPr>
      </w:pPr>
      <w:bookmarkStart w:id="38" w:name="_Toc197922413"/>
      <w:r>
        <w:t>T</w:t>
      </w:r>
      <w:r w:rsidR="00141A8D" w:rsidRPr="001C6303">
        <w:t xml:space="preserve">here </w:t>
      </w:r>
      <w:r w:rsidR="00141A8D">
        <w:t>were</w:t>
      </w:r>
      <w:r w:rsidR="00141A8D" w:rsidRPr="001C6303">
        <w:t xml:space="preserve"> no </w:t>
      </w:r>
      <w:r w:rsidR="00141A8D">
        <w:t xml:space="preserve">significant </w:t>
      </w:r>
      <w:r w:rsidR="00141A8D" w:rsidRPr="001C6303">
        <w:t>change</w:t>
      </w:r>
      <w:r w:rsidR="00141A8D">
        <w:t>s</w:t>
      </w:r>
      <w:r w:rsidR="00141A8D" w:rsidRPr="001C6303">
        <w:t xml:space="preserve"> in our internal control over financial reporting that occurred during the three months ended </w:t>
      </w:r>
      <w:r w:rsidR="001E4E5D">
        <w:t>September</w:t>
      </w:r>
      <w:r w:rsidR="00141A8D">
        <w:t> 3</w:t>
      </w:r>
      <w:r w:rsidR="004C434E">
        <w:t>0</w:t>
      </w:r>
      <w:r w:rsidR="00141A8D">
        <w:t>, 202</w:t>
      </w:r>
      <w:r w:rsidR="00052C14">
        <w:t>2</w:t>
      </w:r>
      <w:r w:rsidR="00141A8D">
        <w:t xml:space="preserve"> </w:t>
      </w:r>
      <w:r w:rsidR="00141A8D" w:rsidRPr="001C6303">
        <w:t>that ha</w:t>
      </w:r>
      <w:r w:rsidR="00141A8D">
        <w:t>ve</w:t>
      </w:r>
      <w:r w:rsidR="00141A8D" w:rsidRPr="001C6303">
        <w:t xml:space="preserve"> materially affected, or </w:t>
      </w:r>
      <w:r w:rsidR="00141A8D">
        <w:t>are</w:t>
      </w:r>
      <w:r w:rsidR="00141A8D" w:rsidRPr="001C6303">
        <w:t xml:space="preserve"> reasonably likely to materially affect, our internal c</w:t>
      </w:r>
      <w:r w:rsidR="00141A8D">
        <w:t>ontrol over financial reporting.</w:t>
      </w:r>
    </w:p>
    <w:p w14:paraId="4B834CB5" w14:textId="66141085" w:rsidR="006F2532" w:rsidRDefault="006F2532" w:rsidP="006F2532"/>
    <w:p w14:paraId="22372AAB" w14:textId="77777777" w:rsidR="004C434E" w:rsidRPr="00374DEE" w:rsidRDefault="004C434E" w:rsidP="004C434E">
      <w:pPr>
        <w:rPr>
          <w:i/>
        </w:rPr>
      </w:pPr>
      <w:r w:rsidRPr="00374DEE">
        <w:rPr>
          <w:i/>
        </w:rPr>
        <w:t>Limitations on Controls</w:t>
      </w:r>
    </w:p>
    <w:p w14:paraId="299A5EE4" w14:textId="77777777" w:rsidR="004C434E" w:rsidRDefault="004C434E"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4AEAAD1D" w14:textId="4DB84DC9" w:rsidR="00D9086D" w:rsidRDefault="00D9086D" w:rsidP="000A55AE"/>
    <w:p w14:paraId="2CD1CD28" w14:textId="511586C3" w:rsidR="00D12423" w:rsidRDefault="00D12423">
      <w:r>
        <w:br w:type="page"/>
      </w:r>
    </w:p>
    <w:p w14:paraId="41DFD7C2" w14:textId="77777777" w:rsidR="00B74BA5" w:rsidRPr="00D9086D" w:rsidRDefault="00B74BA5" w:rsidP="000A55AE"/>
    <w:p w14:paraId="5CF04708" w14:textId="220D6309" w:rsidR="00BD6BBE" w:rsidRDefault="004E3374" w:rsidP="000A55AE">
      <w:pPr>
        <w:pStyle w:val="Heading1"/>
        <w:numPr>
          <w:ilvl w:val="0"/>
          <w:numId w:val="0"/>
        </w:numPr>
      </w:pPr>
      <w:r>
        <w:t>PART</w:t>
      </w:r>
      <w:r w:rsidR="002D50D9">
        <w:t xml:space="preserve"> II -- </w:t>
      </w:r>
      <w:r w:rsidR="00BD6BBE" w:rsidRPr="001C6303">
        <w:t>OTHER INFORMATION</w:t>
      </w:r>
      <w:bookmarkEnd w:id="38"/>
    </w:p>
    <w:p w14:paraId="08E1E66F" w14:textId="77777777" w:rsidR="006A70C4" w:rsidRPr="006A70C4" w:rsidRDefault="006A70C4" w:rsidP="000A55AE"/>
    <w:p w14:paraId="5D51F2B6" w14:textId="77777777" w:rsidR="00054B43" w:rsidRPr="001C6303" w:rsidRDefault="00054B43" w:rsidP="000A55AE">
      <w:pPr>
        <w:pStyle w:val="Heading2"/>
        <w:numPr>
          <w:ilvl w:val="1"/>
          <w:numId w:val="5"/>
        </w:numPr>
        <w:tabs>
          <w:tab w:val="clear" w:pos="1440"/>
          <w:tab w:val="num" w:pos="1080"/>
        </w:tabs>
        <w:spacing w:after="0"/>
        <w:ind w:left="0"/>
      </w:pPr>
      <w:bookmarkStart w:id="39" w:name="_Toc197922414"/>
      <w:r w:rsidRPr="001C6303">
        <w:t>Legal Proceedings</w:t>
      </w:r>
      <w:bookmarkEnd w:id="39"/>
    </w:p>
    <w:p w14:paraId="21FA962B" w14:textId="77777777" w:rsidR="00AC47F0" w:rsidRDefault="00AC47F0" w:rsidP="000A55AE">
      <w:pPr>
        <w:pStyle w:val="BodyText"/>
        <w:spacing w:after="0"/>
      </w:pPr>
    </w:p>
    <w:p w14:paraId="2BD90769" w14:textId="0F8FFD71" w:rsidR="00054B43" w:rsidRDefault="00041939" w:rsidP="000A55AE">
      <w:pPr>
        <w:pStyle w:val="BodyText"/>
        <w:spacing w:after="0"/>
      </w:pPr>
      <w:r w:rsidRPr="001C6303">
        <w:t>None</w:t>
      </w:r>
      <w:r w:rsidR="00675961">
        <w:t>.</w:t>
      </w:r>
    </w:p>
    <w:p w14:paraId="72AA6FCD" w14:textId="77777777" w:rsidR="00AC47F0" w:rsidRPr="001C6303" w:rsidRDefault="00AC47F0" w:rsidP="000A55AE">
      <w:pPr>
        <w:pStyle w:val="BodyText"/>
        <w:spacing w:after="0"/>
      </w:pPr>
    </w:p>
    <w:p w14:paraId="3FFE1213" w14:textId="77777777" w:rsidR="00054B43" w:rsidRPr="001C6303" w:rsidRDefault="00054B43" w:rsidP="000A55AE">
      <w:pPr>
        <w:pStyle w:val="Heading3"/>
        <w:spacing w:after="0"/>
      </w:pPr>
      <w:bookmarkStart w:id="40" w:name="_Toc197922415"/>
      <w:r w:rsidRPr="001C6303">
        <w:t>Risk Factors</w:t>
      </w:r>
      <w:bookmarkEnd w:id="40"/>
    </w:p>
    <w:p w14:paraId="2421EF43" w14:textId="77777777" w:rsidR="000A55AE" w:rsidRDefault="000A55AE" w:rsidP="000A55AE">
      <w:pPr>
        <w:pStyle w:val="BodyText"/>
        <w:spacing w:after="0"/>
      </w:pPr>
    </w:p>
    <w:p w14:paraId="11082EF5" w14:textId="07568CA2" w:rsidR="00906109" w:rsidRDefault="00906109" w:rsidP="004C149C">
      <w:pPr>
        <w:pStyle w:val="BodyText"/>
        <w:spacing w:after="0"/>
      </w:pPr>
      <w:r w:rsidRPr="001C6303">
        <w:t xml:space="preserve">For information regarding factors that could affect our results of operations, financial condition or liquidity, see the risk factors discussed under </w:t>
      </w:r>
      <w:r w:rsidR="00B44A4C" w:rsidRPr="001C6303">
        <w:t>“</w:t>
      </w:r>
      <w:r w:rsidR="007F5D4D" w:rsidRPr="001C6303">
        <w:t>Risk Factors</w:t>
      </w:r>
      <w:r w:rsidR="00B44A4C" w:rsidRPr="001C6303">
        <w:t>”</w:t>
      </w:r>
      <w:r w:rsidRPr="001C6303">
        <w:t xml:space="preserve"> in Item </w:t>
      </w:r>
      <w:r w:rsidR="007F5D4D" w:rsidRPr="001C6303">
        <w:t>1A</w:t>
      </w:r>
      <w:r w:rsidRPr="001C6303">
        <w:t xml:space="preserve"> of our most rece</w:t>
      </w:r>
      <w:r w:rsidR="00815F96">
        <w:t xml:space="preserve">nt Annual Report on Form 10-K. </w:t>
      </w:r>
      <w:r w:rsidRPr="001C6303">
        <w:t xml:space="preserve">See also </w:t>
      </w:r>
      <w:r w:rsidR="00B44A4C" w:rsidRPr="001C6303">
        <w:t>“</w:t>
      </w:r>
      <w:r w:rsidRPr="001C6303">
        <w:t>Forward-Looking Statements,</w:t>
      </w:r>
      <w:r w:rsidR="00B44A4C" w:rsidRPr="001C6303">
        <w:t>”</w:t>
      </w:r>
      <w:r w:rsidRPr="001C6303">
        <w:t xml:space="preserve"> included in </w:t>
      </w:r>
      <w:r w:rsidR="004C149C">
        <w:t xml:space="preserve">Part I - </w:t>
      </w:r>
      <w:r w:rsidRPr="001C6303">
        <w:t xml:space="preserve">Item 2 of this </w:t>
      </w:r>
      <w:r w:rsidR="00815F96">
        <w:t xml:space="preserve">Quarterly Report on Form 10-Q. </w:t>
      </w:r>
      <w:r w:rsidR="004A6891">
        <w:t>As a smaller reporting company (as defined in Rule 12b-2 of the Exchange Act), we are not required to provide the information called for by this Item 1A concerning any material changes from the risk factors previously disclosed in our most recent Annual Report on Form 10-K.</w:t>
      </w:r>
    </w:p>
    <w:p w14:paraId="46F8B1A4" w14:textId="77777777" w:rsidR="000A55AE" w:rsidRPr="001C6303" w:rsidRDefault="000A55AE" w:rsidP="000A55AE">
      <w:pPr>
        <w:pStyle w:val="BodyText"/>
        <w:spacing w:after="0"/>
        <w:rPr>
          <w:b/>
        </w:rPr>
      </w:pPr>
    </w:p>
    <w:p w14:paraId="01FE2E7F" w14:textId="77777777" w:rsidR="00054B43" w:rsidRPr="001C6303" w:rsidRDefault="00054B43" w:rsidP="000A55AE">
      <w:pPr>
        <w:pStyle w:val="Heading2"/>
        <w:spacing w:after="0"/>
      </w:pPr>
      <w:bookmarkStart w:id="41" w:name="_Toc197922416"/>
      <w:r w:rsidRPr="001C6303">
        <w:t>Unregistered Sale</w:t>
      </w:r>
      <w:r w:rsidR="00A63414" w:rsidRPr="001C6303">
        <w:t>s</w:t>
      </w:r>
      <w:r w:rsidRPr="001C6303">
        <w:t xml:space="preserve"> of Equity Securities and Use of Proceeds</w:t>
      </w:r>
      <w:bookmarkEnd w:id="41"/>
    </w:p>
    <w:p w14:paraId="12D60E19" w14:textId="77777777" w:rsidR="000A55AE" w:rsidRDefault="000A55AE" w:rsidP="000A55AE">
      <w:pPr>
        <w:pStyle w:val="BodyText"/>
        <w:spacing w:after="0"/>
      </w:pPr>
      <w:bookmarkStart w:id="42" w:name="_Toc197922417"/>
    </w:p>
    <w:p w14:paraId="5C38684C" w14:textId="38BADD44" w:rsidR="007146A0" w:rsidRDefault="00D30350" w:rsidP="007146A0">
      <w:pPr>
        <w:pStyle w:val="BodyText"/>
        <w:spacing w:after="0"/>
      </w:pPr>
      <w:r>
        <w:t>During July 2022,</w:t>
      </w:r>
      <w:r w:rsidR="007146A0" w:rsidRPr="0011159C">
        <w:t xml:space="preserve"> we issued </w:t>
      </w:r>
      <w:r>
        <w:t xml:space="preserve">75,000 </w:t>
      </w:r>
      <w:r w:rsidR="007146A0" w:rsidRPr="0011159C">
        <w:t>shares of our common stock to</w:t>
      </w:r>
      <w:r w:rsidR="00755B50">
        <w:t xml:space="preserve"> a consultant</w:t>
      </w:r>
      <w:r w:rsidR="007146A0">
        <w:t xml:space="preserve"> </w:t>
      </w:r>
      <w:r w:rsidR="00755B50">
        <w:t>in exchange for services</w:t>
      </w:r>
      <w:r w:rsidR="007146A0" w:rsidRPr="0011159C">
        <w:t xml:space="preserve">. </w:t>
      </w:r>
      <w:r w:rsidR="00755B50">
        <w:t>The shares were valued at $60,750 as of the date of issuance and were granted as a restricted stock award under our 2020 Stock Incentive Plan. We</w:t>
      </w:r>
      <w:r w:rsidR="007146A0" w:rsidRPr="0011159C">
        <w:t xml:space="preserve"> relied on an exemption from the registration requirements of the</w:t>
      </w:r>
      <w:r w:rsidR="007146A0">
        <w:t xml:space="preserve"> </w:t>
      </w:r>
      <w:r w:rsidR="007146A0" w:rsidRPr="0011159C">
        <w:t>Securities Act</w:t>
      </w:r>
      <w:r w:rsidR="007146A0">
        <w:t xml:space="preserve"> </w:t>
      </w:r>
      <w:r w:rsidR="007146A0" w:rsidRPr="0011159C">
        <w:t>afforded by Section 4(a) (2) thereof and Rule</w:t>
      </w:r>
      <w:r w:rsidR="007146A0">
        <w:t xml:space="preserve"> </w:t>
      </w:r>
      <w:r w:rsidR="007146A0" w:rsidRPr="0011159C">
        <w:t>506</w:t>
      </w:r>
      <w:r w:rsidR="007146A0">
        <w:t xml:space="preserve"> </w:t>
      </w:r>
      <w:r w:rsidR="007146A0" w:rsidRPr="0011159C">
        <w:t>of</w:t>
      </w:r>
      <w:r w:rsidR="007146A0">
        <w:t xml:space="preserve"> </w:t>
      </w:r>
      <w:r w:rsidR="007146A0" w:rsidRPr="0011159C">
        <w:t>Regulation D</w:t>
      </w:r>
      <w:r w:rsidR="007146A0">
        <w:t>.</w:t>
      </w:r>
    </w:p>
    <w:p w14:paraId="38BF86E2" w14:textId="77777777" w:rsidR="008B15AF" w:rsidRDefault="008B15AF" w:rsidP="000A55AE">
      <w:pPr>
        <w:pStyle w:val="BodyText"/>
        <w:spacing w:after="0"/>
      </w:pPr>
    </w:p>
    <w:p w14:paraId="019F5350" w14:textId="77777777" w:rsidR="007146A0" w:rsidRDefault="007146A0" w:rsidP="007146A0">
      <w:r w:rsidRPr="00C16143">
        <w:t xml:space="preserve">There were no </w:t>
      </w:r>
      <w:r>
        <w:t xml:space="preserve">other </w:t>
      </w:r>
      <w:r w:rsidRPr="00C16143">
        <w:t>sales of unregistered securities during the period covered by this report that have not previously been reported on Form 8-K.</w:t>
      </w:r>
    </w:p>
    <w:p w14:paraId="7DBBC8F1" w14:textId="77777777" w:rsidR="007146A0" w:rsidRPr="001C6303" w:rsidRDefault="007146A0" w:rsidP="000A55AE">
      <w:pPr>
        <w:pStyle w:val="BodyText"/>
        <w:spacing w:after="0"/>
      </w:pPr>
    </w:p>
    <w:p w14:paraId="348B3601" w14:textId="77777777" w:rsidR="00054B43" w:rsidRPr="001C6303" w:rsidRDefault="00054B43" w:rsidP="000A55AE">
      <w:pPr>
        <w:pStyle w:val="Heading2"/>
        <w:spacing w:after="0"/>
      </w:pPr>
      <w:r w:rsidRPr="001C6303">
        <w:t>Default</w:t>
      </w:r>
      <w:r w:rsidR="00C31EDD" w:rsidRPr="001C6303">
        <w:t>s</w:t>
      </w:r>
      <w:r w:rsidRPr="001C6303">
        <w:t xml:space="preserve"> Upon Senior Securities</w:t>
      </w:r>
      <w:bookmarkEnd w:id="42"/>
    </w:p>
    <w:p w14:paraId="247D327D" w14:textId="77777777" w:rsidR="000A55AE" w:rsidRDefault="000A55AE" w:rsidP="000A55AE">
      <w:pPr>
        <w:pStyle w:val="BodyText"/>
        <w:spacing w:after="0"/>
      </w:pPr>
    </w:p>
    <w:p w14:paraId="5BA3A2EC" w14:textId="38E78244" w:rsidR="001E77F3" w:rsidRDefault="00265232" w:rsidP="000A55AE">
      <w:pPr>
        <w:pStyle w:val="BodyText"/>
        <w:spacing w:after="0"/>
      </w:pPr>
      <w:r w:rsidRPr="001C6303">
        <w:t>None</w:t>
      </w:r>
      <w:r w:rsidR="002567E8" w:rsidRPr="001C6303">
        <w:t>.</w:t>
      </w:r>
    </w:p>
    <w:p w14:paraId="752AA411" w14:textId="77777777" w:rsidR="000A55AE" w:rsidRPr="001C6303" w:rsidRDefault="000A55AE" w:rsidP="000A55AE">
      <w:pPr>
        <w:pStyle w:val="BodyText"/>
        <w:spacing w:after="0"/>
      </w:pPr>
    </w:p>
    <w:p w14:paraId="2FAE1A6B" w14:textId="77777777" w:rsidR="001E77F3" w:rsidRDefault="000D4A4B" w:rsidP="000A55AE">
      <w:pPr>
        <w:pStyle w:val="Heading2"/>
        <w:spacing w:after="0"/>
      </w:pPr>
      <w:r>
        <w:t>Mine Safety Disclosures</w:t>
      </w:r>
    </w:p>
    <w:p w14:paraId="02354D5D" w14:textId="77777777" w:rsidR="000A55AE" w:rsidRDefault="000A55AE" w:rsidP="000A55AE"/>
    <w:p w14:paraId="453836D0" w14:textId="1F5A6176" w:rsidR="00F44C3F" w:rsidRDefault="000D4A4B" w:rsidP="000A55AE">
      <w:r>
        <w:t>Not applicable</w:t>
      </w:r>
      <w:r w:rsidR="00A43563">
        <w:t>.</w:t>
      </w:r>
    </w:p>
    <w:p w14:paraId="1027084F" w14:textId="77777777" w:rsidR="000A55AE" w:rsidRDefault="000A55AE" w:rsidP="000A55AE"/>
    <w:p w14:paraId="189BAF65" w14:textId="77777777" w:rsidR="00025C72" w:rsidRPr="001C6303" w:rsidRDefault="00C07C60" w:rsidP="000A55AE">
      <w:pPr>
        <w:pStyle w:val="Heading2"/>
        <w:spacing w:after="0"/>
      </w:pPr>
      <w:bookmarkStart w:id="43" w:name="_Toc197922419"/>
      <w:r>
        <w:t>Other Information</w:t>
      </w:r>
      <w:r w:rsidR="00025C72" w:rsidRPr="001C6303">
        <w:t xml:space="preserve"> </w:t>
      </w:r>
    </w:p>
    <w:p w14:paraId="72A27140" w14:textId="77777777" w:rsidR="000A55AE" w:rsidRDefault="000A55AE" w:rsidP="000A55AE"/>
    <w:p w14:paraId="427B8C1F" w14:textId="54FA1327" w:rsidR="00001C8D" w:rsidRDefault="003467A5">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3"/>
      <w:r w:rsidR="00001C8D">
        <w:br w:type="page"/>
      </w:r>
    </w:p>
    <w:p w14:paraId="513F7D6F" w14:textId="77777777" w:rsidR="00A17B7E" w:rsidRDefault="00A17B7E" w:rsidP="000C50EF"/>
    <w:p w14:paraId="3B899785" w14:textId="07B843E3" w:rsidR="00717940" w:rsidRDefault="005E7A32" w:rsidP="00742E05">
      <w:pPr>
        <w:pStyle w:val="Heading2"/>
        <w:numPr>
          <w:ilvl w:val="0"/>
          <w:numId w:val="0"/>
        </w:numPr>
        <w:tabs>
          <w:tab w:val="left" w:pos="1000"/>
        </w:tabs>
        <w:spacing w:after="0"/>
      </w:pPr>
      <w:bookmarkStart w:id="44" w:name="_Toc197922420"/>
      <w:r w:rsidRPr="001C6303">
        <w:rPr>
          <w:u w:val="none"/>
        </w:rPr>
        <w:t>Item 6</w:t>
      </w:r>
      <w:r w:rsidRPr="001C6303">
        <w:rPr>
          <w:u w:val="none"/>
        </w:rPr>
        <w:tab/>
      </w:r>
      <w:r w:rsidR="00BD6BBE" w:rsidRPr="001C6303">
        <w:t>Exhibits</w:t>
      </w:r>
      <w:bookmarkEnd w:id="44"/>
    </w:p>
    <w:p w14:paraId="14B0B89F" w14:textId="77777777" w:rsidR="00742E05" w:rsidRPr="00742E05" w:rsidRDefault="00742E05" w:rsidP="00742E05"/>
    <w:p w14:paraId="28869080" w14:textId="77777777" w:rsidR="00717940" w:rsidRPr="001C6303" w:rsidRDefault="00717940" w:rsidP="00717940">
      <w:pPr>
        <w:keepNext/>
      </w:pPr>
      <w:r w:rsidRPr="001C6303">
        <w:t>Exhibit</w:t>
      </w:r>
    </w:p>
    <w:p w14:paraId="4D624768" w14:textId="77777777" w:rsidR="00717940" w:rsidRPr="001C6303" w:rsidRDefault="00717940" w:rsidP="00B54D7E">
      <w:pPr>
        <w:keepNext/>
        <w:tabs>
          <w:tab w:val="left" w:pos="1080"/>
        </w:tabs>
        <w:spacing w:after="60"/>
        <w:rPr>
          <w:u w:val="single"/>
        </w:rPr>
      </w:pPr>
      <w:r w:rsidRPr="001C6303">
        <w:rPr>
          <w:u w:val="single"/>
        </w:rPr>
        <w:t>Number</w:t>
      </w:r>
      <w:r w:rsidRPr="001C6303">
        <w:tab/>
      </w:r>
      <w:r w:rsidRPr="001C6303">
        <w:rPr>
          <w:u w:val="single"/>
        </w:rPr>
        <w:t>Description</w:t>
      </w:r>
    </w:p>
    <w:p w14:paraId="54618A4D" w14:textId="6A40F90F" w:rsidR="008F2D01" w:rsidRPr="00162007" w:rsidRDefault="008F2D01" w:rsidP="008F2D01">
      <w:pPr>
        <w:ind w:left="1080" w:hanging="1080"/>
        <w:rPr>
          <w:bCs/>
        </w:rPr>
      </w:pPr>
      <w:r w:rsidRPr="00162007">
        <w:rPr>
          <w:bCs/>
        </w:rPr>
        <w:t>10.1</w:t>
      </w:r>
      <w:r w:rsidRPr="00162007">
        <w:rPr>
          <w:bCs/>
        </w:rPr>
        <w:tab/>
      </w:r>
      <w:hyperlink r:id="rId22" w:history="1">
        <w:r w:rsidRPr="00162007">
          <w:rPr>
            <w:rStyle w:val="Hyperlink"/>
            <w:bCs/>
          </w:rPr>
          <w:t>Securities Purchase Agreement, dated January 14, 2022 (</w:t>
        </w:r>
        <w:r>
          <w:rPr>
            <w:rStyle w:val="Hyperlink"/>
            <w:bCs/>
          </w:rPr>
          <w:t>2</w:t>
        </w:r>
        <w:r w:rsidRPr="00162007">
          <w:rPr>
            <w:rStyle w:val="Hyperlink"/>
            <w:bCs/>
          </w:rPr>
          <w:t>)</w:t>
        </w:r>
      </w:hyperlink>
    </w:p>
    <w:p w14:paraId="3D037BC6" w14:textId="1CE4653D" w:rsidR="008F2D01" w:rsidRDefault="008F2D01" w:rsidP="008F2D01">
      <w:pPr>
        <w:ind w:left="1080" w:hanging="1080"/>
        <w:rPr>
          <w:bCs/>
        </w:rPr>
      </w:pPr>
      <w:r w:rsidRPr="00162007">
        <w:rPr>
          <w:bCs/>
        </w:rPr>
        <w:t>10</w:t>
      </w:r>
      <w:r>
        <w:rPr>
          <w:bCs/>
        </w:rPr>
        <w:t>.2</w:t>
      </w:r>
      <w:r w:rsidRPr="00162007">
        <w:rPr>
          <w:bCs/>
        </w:rPr>
        <w:tab/>
      </w:r>
      <w:hyperlink r:id="rId23" w:history="1">
        <w:r w:rsidRPr="00162007">
          <w:rPr>
            <w:rStyle w:val="Hyperlink"/>
            <w:bCs/>
          </w:rPr>
          <w:t>Registration Rights Agreement, dated January 14, 2022 (</w:t>
        </w:r>
        <w:r>
          <w:rPr>
            <w:rStyle w:val="Hyperlink"/>
            <w:bCs/>
          </w:rPr>
          <w:t>2</w:t>
        </w:r>
        <w:r w:rsidRPr="00162007">
          <w:rPr>
            <w:rStyle w:val="Hyperlink"/>
            <w:bCs/>
          </w:rPr>
          <w:t>)</w:t>
        </w:r>
      </w:hyperlink>
    </w:p>
    <w:p w14:paraId="417652C2" w14:textId="5283C62C" w:rsidR="006D2C83" w:rsidRDefault="006D2C83" w:rsidP="00C10E11">
      <w:pPr>
        <w:ind w:left="1080" w:hanging="1080"/>
      </w:pPr>
      <w:r>
        <w:t>10.</w:t>
      </w:r>
      <w:r w:rsidR="00A5441A">
        <w:t>3</w:t>
      </w:r>
      <w:r>
        <w:tab/>
      </w:r>
      <w:hyperlink r:id="rId24" w:history="1">
        <w:r w:rsidRPr="008F2D01">
          <w:rPr>
            <w:bCs/>
            <w:color w:val="0000FF"/>
            <w:u w:val="single"/>
          </w:rPr>
          <w:t>Form of Common Warrant</w:t>
        </w:r>
        <w:r>
          <w:rPr>
            <w:bCs/>
            <w:color w:val="0000FF"/>
            <w:u w:val="single"/>
          </w:rPr>
          <w:t>, dated January 19, 2022</w:t>
        </w:r>
        <w:r w:rsidRPr="008F2D01">
          <w:rPr>
            <w:bCs/>
            <w:color w:val="0000FF"/>
            <w:u w:val="single"/>
          </w:rPr>
          <w:t xml:space="preserve"> (</w:t>
        </w:r>
        <w:r>
          <w:rPr>
            <w:bCs/>
            <w:color w:val="0000FF"/>
            <w:u w:val="single"/>
          </w:rPr>
          <w:t>2</w:t>
        </w:r>
        <w:r w:rsidRPr="008F2D01">
          <w:rPr>
            <w:bCs/>
            <w:color w:val="0000FF"/>
            <w:u w:val="single"/>
          </w:rPr>
          <w:t>)</w:t>
        </w:r>
      </w:hyperlink>
    </w:p>
    <w:p w14:paraId="44E9F938" w14:textId="20ACB311" w:rsidR="006D2C83" w:rsidRDefault="006D2C83" w:rsidP="006D2C83">
      <w:pPr>
        <w:ind w:left="1080" w:hanging="1080"/>
      </w:pPr>
      <w:r>
        <w:t>10.</w:t>
      </w:r>
      <w:r w:rsidR="00A5441A">
        <w:t>4</w:t>
      </w:r>
      <w:r>
        <w:tab/>
      </w:r>
      <w:hyperlink r:id="rId25" w:history="1">
        <w:r w:rsidRPr="00B87EC8">
          <w:rPr>
            <w:rStyle w:val="Hyperlink"/>
          </w:rPr>
          <w:t>Form of PIPE Securities Purchase Agreement, dated May 25, 2022</w:t>
        </w:r>
        <w:r w:rsidR="00A06004" w:rsidRPr="00B87EC8">
          <w:rPr>
            <w:rStyle w:val="Hyperlink"/>
          </w:rPr>
          <w:t xml:space="preserve"> (4)</w:t>
        </w:r>
      </w:hyperlink>
    </w:p>
    <w:p w14:paraId="23FB8CE5" w14:textId="6C3B9320" w:rsidR="006D2C83" w:rsidRDefault="006D2C83" w:rsidP="006D2C83">
      <w:pPr>
        <w:ind w:left="1080" w:hanging="1080"/>
      </w:pPr>
      <w:r>
        <w:t>10.</w:t>
      </w:r>
      <w:r w:rsidR="00A5441A">
        <w:t>5</w:t>
      </w:r>
      <w:r>
        <w:tab/>
      </w:r>
      <w:hyperlink r:id="rId26" w:history="1">
        <w:r w:rsidRPr="00B87EC8">
          <w:rPr>
            <w:rStyle w:val="Hyperlink"/>
          </w:rPr>
          <w:t>Form of RD Securities Purchase Agreement, dated May 25, 2022</w:t>
        </w:r>
        <w:r w:rsidR="00A06004" w:rsidRPr="00B87EC8">
          <w:rPr>
            <w:rStyle w:val="Hyperlink"/>
          </w:rPr>
          <w:t xml:space="preserve"> (4)</w:t>
        </w:r>
      </w:hyperlink>
    </w:p>
    <w:p w14:paraId="49BCDCED" w14:textId="34E8253C" w:rsidR="00A06004" w:rsidRDefault="00A06004" w:rsidP="00A06004">
      <w:pPr>
        <w:ind w:left="1080" w:hanging="1080"/>
      </w:pPr>
      <w:r>
        <w:t>10.</w:t>
      </w:r>
      <w:r w:rsidR="00A5441A">
        <w:t>6</w:t>
      </w:r>
      <w:r>
        <w:tab/>
      </w:r>
      <w:hyperlink r:id="rId27" w:history="1">
        <w:r w:rsidRPr="00B87EC8">
          <w:rPr>
            <w:rStyle w:val="Hyperlink"/>
          </w:rPr>
          <w:t>Form of Registration Rights Agreement, dated May 25, 2022 (4)</w:t>
        </w:r>
      </w:hyperlink>
    </w:p>
    <w:p w14:paraId="434C6A82" w14:textId="357DEA74" w:rsidR="006D2C83" w:rsidRDefault="00A06004" w:rsidP="00A06004">
      <w:pPr>
        <w:ind w:left="1080" w:hanging="1080"/>
      </w:pPr>
      <w:r>
        <w:t>10.</w:t>
      </w:r>
      <w:r w:rsidR="00A5441A">
        <w:t>7</w:t>
      </w:r>
      <w:r>
        <w:tab/>
      </w:r>
      <w:hyperlink r:id="rId28" w:history="1">
        <w:r w:rsidR="006D2C83" w:rsidRPr="00B87EC8">
          <w:rPr>
            <w:rStyle w:val="Hyperlink"/>
          </w:rPr>
          <w:t>Form of PIPE Pre-Funded Warrant</w:t>
        </w:r>
        <w:r w:rsidRPr="00B87EC8">
          <w:rPr>
            <w:rStyle w:val="Hyperlink"/>
          </w:rPr>
          <w:t>, dated May 27, 2022 (4)</w:t>
        </w:r>
      </w:hyperlink>
    </w:p>
    <w:p w14:paraId="3A3DD017" w14:textId="121AD64D" w:rsidR="006D2C83" w:rsidRDefault="00A06004" w:rsidP="00A06004">
      <w:pPr>
        <w:ind w:left="1080" w:hanging="1080"/>
      </w:pPr>
      <w:r>
        <w:t>10.</w:t>
      </w:r>
      <w:r w:rsidR="00A5441A">
        <w:t>8</w:t>
      </w:r>
      <w:r>
        <w:tab/>
      </w:r>
      <w:hyperlink r:id="rId29" w:history="1">
        <w:r w:rsidR="006D2C83" w:rsidRPr="00B87EC8">
          <w:rPr>
            <w:rStyle w:val="Hyperlink"/>
          </w:rPr>
          <w:t>Form of PIPE Preferred Investment Options</w:t>
        </w:r>
        <w:r w:rsidRPr="00B87EC8">
          <w:rPr>
            <w:rStyle w:val="Hyperlink"/>
          </w:rPr>
          <w:t>, dated May 27, 2022 (4)</w:t>
        </w:r>
      </w:hyperlink>
    </w:p>
    <w:p w14:paraId="11DE7549" w14:textId="1D26ADED" w:rsidR="006D2C83" w:rsidRDefault="00A06004" w:rsidP="00C10E11">
      <w:pPr>
        <w:ind w:left="1080" w:hanging="1080"/>
      </w:pPr>
      <w:r>
        <w:t>10.</w:t>
      </w:r>
      <w:r w:rsidR="00A5441A">
        <w:t>9</w:t>
      </w:r>
      <w:r>
        <w:tab/>
      </w:r>
      <w:hyperlink r:id="rId30" w:history="1">
        <w:r w:rsidR="006D2C83" w:rsidRPr="00B87EC8">
          <w:rPr>
            <w:rStyle w:val="Hyperlink"/>
          </w:rPr>
          <w:t>Form of RD Preferred Investment Options</w:t>
        </w:r>
        <w:r w:rsidRPr="00B87EC8">
          <w:rPr>
            <w:rStyle w:val="Hyperlink"/>
          </w:rPr>
          <w:t>, dated May 27, 2022 (4)</w:t>
        </w:r>
      </w:hyperlink>
    </w:p>
    <w:p w14:paraId="44CA90E6" w14:textId="6F8C118F" w:rsidR="00C10E11" w:rsidRPr="00E12218" w:rsidRDefault="00C10E11" w:rsidP="00532502">
      <w:pPr>
        <w:ind w:left="1080" w:hanging="1080"/>
      </w:pPr>
      <w:r w:rsidRPr="00B12356">
        <w:t>10.</w:t>
      </w:r>
      <w:r w:rsidR="009A5B22">
        <w:t>1</w:t>
      </w:r>
      <w:r w:rsidR="00A5441A">
        <w:t>0</w:t>
      </w:r>
      <w:r>
        <w:t>**</w:t>
      </w:r>
      <w:r w:rsidRPr="00E12218">
        <w:tab/>
      </w:r>
      <w:hyperlink r:id="rId31" w:history="1">
        <w:r w:rsidRPr="000B19B2">
          <w:rPr>
            <w:rStyle w:val="Hyperlink"/>
          </w:rPr>
          <w:t>Employment Agreement between GeoVax, Inc. and Mark J. Newman, PhD, as Amended and Restated March 9, 2022</w:t>
        </w:r>
        <w:r w:rsidR="008F2D01" w:rsidRPr="000B19B2">
          <w:rPr>
            <w:rStyle w:val="Hyperlink"/>
          </w:rPr>
          <w:t xml:space="preserve"> (3)</w:t>
        </w:r>
      </w:hyperlink>
    </w:p>
    <w:p w14:paraId="3A17C8DE" w14:textId="592D4DB4" w:rsidR="009A5B22" w:rsidRDefault="009A5B22" w:rsidP="00C10E11">
      <w:pPr>
        <w:ind w:left="1080" w:hanging="1080"/>
      </w:pPr>
      <w:r>
        <w:t>10.1</w:t>
      </w:r>
      <w:r w:rsidR="00A5441A">
        <w:t>1</w:t>
      </w:r>
      <w:r w:rsidR="004C61BB">
        <w:t>**</w:t>
      </w:r>
      <w:r>
        <w:tab/>
      </w:r>
      <w:hyperlink r:id="rId32" w:history="1">
        <w:r w:rsidRPr="006A2CDF">
          <w:rPr>
            <w:rStyle w:val="Hyperlink"/>
          </w:rPr>
          <w:t>Amendment No. 1 to Employment Agreement between GeoVax Labs, Inc. and Mark J. Newman, PhD</w:t>
        </w:r>
        <w:r w:rsidR="006A2CDF" w:rsidRPr="006A2CDF">
          <w:rPr>
            <w:rStyle w:val="Hyperlink"/>
          </w:rPr>
          <w:t xml:space="preserve"> (5)</w:t>
        </w:r>
      </w:hyperlink>
    </w:p>
    <w:p w14:paraId="37D92D60" w14:textId="4BBAF0EB" w:rsidR="009A5B22" w:rsidRDefault="009A5B22" w:rsidP="00C10E11">
      <w:pPr>
        <w:ind w:left="1080" w:hanging="1080"/>
      </w:pPr>
      <w:r>
        <w:t>10.1</w:t>
      </w:r>
      <w:r w:rsidR="00A5441A">
        <w:t>2</w:t>
      </w:r>
      <w:r w:rsidR="004C61BB">
        <w:t>**</w:t>
      </w:r>
      <w:r>
        <w:tab/>
      </w:r>
      <w:hyperlink r:id="rId33" w:history="1">
        <w:r w:rsidRPr="006A2CDF">
          <w:rPr>
            <w:rStyle w:val="Hyperlink"/>
          </w:rPr>
          <w:t>Employment Agreement between</w:t>
        </w:r>
        <w:r w:rsidR="00532502" w:rsidRPr="006A2CDF">
          <w:rPr>
            <w:rStyle w:val="Hyperlink"/>
          </w:rPr>
          <w:t xml:space="preserve"> GeoVax, Inc. and John W. Sharkey, PhD</w:t>
        </w:r>
        <w:r w:rsidR="006A2CDF" w:rsidRPr="006A2CDF">
          <w:rPr>
            <w:rStyle w:val="Hyperlink"/>
          </w:rPr>
          <w:t xml:space="preserve"> (5)</w:t>
        </w:r>
      </w:hyperlink>
    </w:p>
    <w:p w14:paraId="4C3012FB" w14:textId="33321EFC" w:rsidR="009A5B22" w:rsidRDefault="009A5B22" w:rsidP="00C10E11">
      <w:pPr>
        <w:ind w:left="1080" w:hanging="1080"/>
      </w:pPr>
      <w:r>
        <w:t>10.1</w:t>
      </w:r>
      <w:r w:rsidR="00A5441A">
        <w:t>3</w:t>
      </w:r>
      <w:r w:rsidR="004C61BB">
        <w:t>**</w:t>
      </w:r>
      <w:r>
        <w:tab/>
      </w:r>
      <w:hyperlink r:id="rId34" w:history="1">
        <w:r w:rsidR="00532502" w:rsidRPr="006A2CDF">
          <w:rPr>
            <w:rStyle w:val="Hyperlink"/>
          </w:rPr>
          <w:t>Amendment No. 1 to Employment Agreement between GeoVax Labs, Inc. and John W. Sharkey, PhD</w:t>
        </w:r>
        <w:r w:rsidR="006A2CDF" w:rsidRPr="006A2CDF">
          <w:rPr>
            <w:rStyle w:val="Hyperlink"/>
          </w:rPr>
          <w:t xml:space="preserve"> (5)</w:t>
        </w:r>
      </w:hyperlink>
    </w:p>
    <w:p w14:paraId="2A2590B0" w14:textId="7F19084A" w:rsidR="00C10E11" w:rsidRDefault="00C10E11" w:rsidP="00C10E11">
      <w:pPr>
        <w:ind w:left="1080" w:hanging="1080"/>
      </w:pPr>
      <w:r w:rsidRPr="00B12356">
        <w:t>10.</w:t>
      </w:r>
      <w:r w:rsidR="00A5441A">
        <w:t>14</w:t>
      </w:r>
      <w:r>
        <w:t>**</w:t>
      </w:r>
      <w:r w:rsidRPr="00E12218">
        <w:tab/>
      </w:r>
      <w:hyperlink r:id="rId35" w:history="1">
        <w:r w:rsidRPr="000B19B2">
          <w:rPr>
            <w:rStyle w:val="Hyperlink"/>
          </w:rPr>
          <w:t>Consulting Agreement by and between GeoVax, Inc. and Kelly T. McKee, MD, dated December 22, 2021</w:t>
        </w:r>
        <w:r w:rsidR="008F2D01" w:rsidRPr="000B19B2">
          <w:rPr>
            <w:rStyle w:val="Hyperlink"/>
          </w:rPr>
          <w:t xml:space="preserve"> (3)</w:t>
        </w:r>
      </w:hyperlink>
    </w:p>
    <w:p w14:paraId="10BAACAC" w14:textId="692946C0" w:rsidR="002E2877" w:rsidRDefault="00C10E11" w:rsidP="00532502">
      <w:pPr>
        <w:ind w:left="1080" w:hanging="1080"/>
      </w:pPr>
      <w:r w:rsidRPr="00B12356">
        <w:t>10.</w:t>
      </w:r>
      <w:r w:rsidR="00A5441A">
        <w:t>1</w:t>
      </w:r>
      <w:r w:rsidR="008F2D01">
        <w:t>5</w:t>
      </w:r>
      <w:r w:rsidRPr="00E12218">
        <w:tab/>
      </w:r>
      <w:hyperlink r:id="rId36" w:history="1">
        <w:r w:rsidRPr="000B19B2">
          <w:rPr>
            <w:rStyle w:val="Hyperlink"/>
          </w:rPr>
          <w:t>Summary of the GeoVax Labs, Inc. Director Compensation Plan</w:t>
        </w:r>
        <w:r w:rsidR="008F2D01" w:rsidRPr="000B19B2">
          <w:rPr>
            <w:rStyle w:val="Hyperlink"/>
          </w:rPr>
          <w:t xml:space="preserve"> (3)</w:t>
        </w:r>
      </w:hyperlink>
    </w:p>
    <w:p w14:paraId="769D58A4" w14:textId="56F50481" w:rsidR="00717940" w:rsidRPr="001C6303" w:rsidRDefault="00717940" w:rsidP="00B54D7E">
      <w:pPr>
        <w:ind w:left="1080" w:hanging="1080"/>
      </w:pPr>
      <w:r w:rsidRPr="001C6303">
        <w:t>31.1*</w:t>
      </w:r>
      <w:r w:rsidRPr="001C6303">
        <w:tab/>
        <w:t xml:space="preserve">Certification pursuant to Rule 13a-14(a) or 15d-14(a) of the Securities Exchange Act of 1934 </w:t>
      </w:r>
    </w:p>
    <w:p w14:paraId="0D5E8471" w14:textId="77777777" w:rsidR="00717940" w:rsidRPr="001C6303" w:rsidRDefault="00717940" w:rsidP="00B54D7E">
      <w:pPr>
        <w:ind w:left="1080" w:hanging="1080"/>
      </w:pPr>
      <w:r w:rsidRPr="001C6303">
        <w:t>31.2*</w:t>
      </w:r>
      <w:r w:rsidRPr="001C6303">
        <w:tab/>
        <w:t xml:space="preserve">Certification pursuant to Rule 13a-14(a) or 15d-14(a) of the Securities Exchange Act of 1934 </w:t>
      </w:r>
    </w:p>
    <w:p w14:paraId="7E0B9613" w14:textId="77777777" w:rsidR="00717940" w:rsidRPr="001C6303" w:rsidRDefault="00717940" w:rsidP="00B54D7E">
      <w:pPr>
        <w:ind w:left="1080" w:hanging="1080"/>
      </w:pPr>
      <w:r w:rsidRPr="001C6303">
        <w:t>32.1*</w:t>
      </w:r>
      <w:r w:rsidRPr="001C6303">
        <w:tab/>
        <w:t xml:space="preserve">Certification pursuant to 18 U.S.C. Section 1350, as adopted by Section 906 of the Sarbanes-Oxley Act of 2002 </w:t>
      </w:r>
    </w:p>
    <w:p w14:paraId="1D894B7E" w14:textId="77777777" w:rsidR="00717940" w:rsidRPr="001C6303" w:rsidRDefault="00717940" w:rsidP="00B54D7E">
      <w:pPr>
        <w:tabs>
          <w:tab w:val="left" w:pos="2340"/>
          <w:tab w:val="left" w:pos="3600"/>
          <w:tab w:val="left" w:pos="7920"/>
        </w:tabs>
        <w:ind w:left="1080" w:hanging="1080"/>
      </w:pPr>
      <w:r w:rsidRPr="001C6303">
        <w:t>32.2*</w:t>
      </w:r>
      <w:r w:rsidRPr="001C6303">
        <w:tab/>
        <w:t xml:space="preserve">Certification pursuant to 18 U.S.C. Section 1350, as adopted by Section 906 of the Sarbanes-Oxley Act of 2002 </w:t>
      </w:r>
    </w:p>
    <w:p w14:paraId="6B43401B" w14:textId="1E52B498" w:rsidR="00277C53" w:rsidRDefault="00277C53" w:rsidP="00B54D7E">
      <w:pPr>
        <w:ind w:left="1080" w:hanging="1080"/>
      </w:pPr>
      <w:r>
        <w:t>101.INS</w:t>
      </w:r>
      <w:r>
        <w:tab/>
      </w:r>
      <w:r w:rsidR="001427A0">
        <w:t xml:space="preserve">Inline </w:t>
      </w:r>
      <w:r>
        <w:t>XBRL Instance Document</w:t>
      </w:r>
      <w:r w:rsidR="001427A0">
        <w:t xml:space="preserve"> (1)</w:t>
      </w:r>
    </w:p>
    <w:p w14:paraId="0DFF493E" w14:textId="681380A4" w:rsidR="00277C53" w:rsidRDefault="00277C53" w:rsidP="00B54D7E">
      <w:pPr>
        <w:ind w:left="1080" w:hanging="1080"/>
      </w:pPr>
      <w:r>
        <w:t>101.SCH</w:t>
      </w:r>
      <w:r>
        <w:tab/>
      </w:r>
      <w:r w:rsidR="001427A0">
        <w:t xml:space="preserve">Inline </w:t>
      </w:r>
      <w:r>
        <w:t>XBRL Taxonomy Extension Schema Document</w:t>
      </w:r>
      <w:r w:rsidR="001427A0">
        <w:t xml:space="preserve"> (1)</w:t>
      </w:r>
    </w:p>
    <w:p w14:paraId="15A985B3" w14:textId="24A71D0B" w:rsidR="00277C53" w:rsidRDefault="00277C53" w:rsidP="00B54D7E">
      <w:pPr>
        <w:ind w:left="1080" w:hanging="1080"/>
      </w:pPr>
      <w:r>
        <w:t>101.CAL</w:t>
      </w:r>
      <w:r>
        <w:tab/>
      </w:r>
      <w:r w:rsidR="001427A0">
        <w:t xml:space="preserve">Inline </w:t>
      </w:r>
      <w:r>
        <w:t>XBRL Taxonomy Extension Calculation Linkbase Document</w:t>
      </w:r>
      <w:r w:rsidR="001427A0">
        <w:t xml:space="preserve"> (1)</w:t>
      </w:r>
    </w:p>
    <w:p w14:paraId="237AE405" w14:textId="5CDEF9F8" w:rsidR="00277C53" w:rsidRDefault="00277C53" w:rsidP="00B54D7E">
      <w:pPr>
        <w:ind w:left="1080" w:hanging="1080"/>
      </w:pPr>
      <w:r>
        <w:t>101.DEF</w:t>
      </w:r>
      <w:r>
        <w:tab/>
      </w:r>
      <w:r w:rsidR="001427A0">
        <w:t xml:space="preserve">Inline </w:t>
      </w:r>
      <w:r>
        <w:t>XBRL Taxonomy Extension Definition Linkbase Document</w:t>
      </w:r>
      <w:r w:rsidR="001427A0">
        <w:t xml:space="preserve"> (1)</w:t>
      </w:r>
    </w:p>
    <w:p w14:paraId="3C8A4BF0" w14:textId="3C7FCEC9" w:rsidR="00277C53" w:rsidRDefault="00277C53" w:rsidP="00B54D7E">
      <w:pPr>
        <w:ind w:left="1080" w:hanging="1080"/>
      </w:pPr>
      <w:r>
        <w:t>101.LAB</w:t>
      </w:r>
      <w:r>
        <w:tab/>
      </w:r>
      <w:r w:rsidR="001427A0">
        <w:t xml:space="preserve">Inline </w:t>
      </w:r>
      <w:r>
        <w:t>XBRL Taxonomy Extension Label Linkbase Document</w:t>
      </w:r>
      <w:r w:rsidR="001427A0">
        <w:t xml:space="preserve"> (1)</w:t>
      </w:r>
    </w:p>
    <w:p w14:paraId="209011E7" w14:textId="6B684223" w:rsidR="00277C53" w:rsidRPr="001C6303" w:rsidRDefault="00277C53" w:rsidP="00B54D7E">
      <w:pPr>
        <w:ind w:left="1080" w:hanging="1080"/>
      </w:pPr>
      <w:r>
        <w:t>101.PR</w:t>
      </w:r>
      <w:r w:rsidR="001427A0">
        <w:t>E</w:t>
      </w:r>
      <w:r>
        <w:tab/>
      </w:r>
      <w:r w:rsidR="001427A0">
        <w:t xml:space="preserve">Inline </w:t>
      </w:r>
      <w:r>
        <w:t>XBRL Taxonomy Extension Presentation Linkbase Document</w:t>
      </w:r>
      <w:r w:rsidR="001427A0">
        <w:t xml:space="preserve"> (1)</w:t>
      </w:r>
    </w:p>
    <w:p w14:paraId="6920DFEF" w14:textId="77777777" w:rsidR="001427A0" w:rsidRPr="001C6303" w:rsidRDefault="001427A0" w:rsidP="00B54D7E">
      <w:pPr>
        <w:ind w:left="1080" w:hanging="1080"/>
      </w:pPr>
      <w:r>
        <w:t>104</w:t>
      </w:r>
      <w:r>
        <w:tab/>
        <w:t>Inline XBRL for the cover page of this Quarterly Report on Form 10-Q and included in the Exhibit 101 Inline XBRL Document Set (1)</w:t>
      </w:r>
    </w:p>
    <w:p w14:paraId="45F577B3" w14:textId="77777777" w:rsidR="00717940" w:rsidRDefault="00717940" w:rsidP="00717940">
      <w:r>
        <w:t>_____________________</w:t>
      </w:r>
    </w:p>
    <w:p w14:paraId="74FDE28B" w14:textId="77777777" w:rsidR="00717940" w:rsidRDefault="00717940" w:rsidP="00717940">
      <w:r w:rsidRPr="001C6303">
        <w:t>*</w:t>
      </w:r>
      <w:r w:rsidRPr="001C6303">
        <w:tab/>
        <w:t>Filed herewith</w:t>
      </w:r>
    </w:p>
    <w:p w14:paraId="67B69AA3" w14:textId="7A33A9AD" w:rsidR="00717940" w:rsidRDefault="00717940" w:rsidP="00742E05">
      <w:pPr>
        <w:ind w:left="720" w:hanging="720"/>
      </w:pPr>
      <w:r>
        <w:t>**</w:t>
      </w:r>
      <w:r>
        <w:tab/>
      </w:r>
      <w:r w:rsidR="001427A0">
        <w:t>Indicates a management contract or compensatory plan or arrangement</w:t>
      </w:r>
    </w:p>
    <w:p w14:paraId="4382E3E7" w14:textId="77777777" w:rsidR="00462D62" w:rsidRDefault="00462D62" w:rsidP="00277C53"/>
    <w:p w14:paraId="4EF68649" w14:textId="77777777" w:rsidR="001427A0" w:rsidRDefault="00277C53" w:rsidP="001427A0">
      <w:pPr>
        <w:ind w:left="720" w:hanging="720"/>
      </w:pPr>
      <w:r>
        <w:t>(1)</w:t>
      </w:r>
      <w:r>
        <w:tab/>
      </w:r>
      <w:r w:rsidR="001427A0">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B208257" w14:textId="1F2CB296" w:rsidR="001427A0" w:rsidRDefault="008F2D01" w:rsidP="00277C53">
      <w:bookmarkStart w:id="45" w:name="_Hlk107301204"/>
      <w:r>
        <w:t>(2)</w:t>
      </w:r>
      <w:r>
        <w:tab/>
      </w:r>
      <w:r w:rsidRPr="00A92006">
        <w:t xml:space="preserve">Incorporated by reference from the registrant’s </w:t>
      </w:r>
      <w:r>
        <w:t>Current</w:t>
      </w:r>
      <w:r w:rsidRPr="00A92006">
        <w:t xml:space="preserve"> Report on Form </w:t>
      </w:r>
      <w:r>
        <w:t>8</w:t>
      </w:r>
      <w:r w:rsidRPr="00A92006">
        <w:t xml:space="preserve">-K filed </w:t>
      </w:r>
      <w:r>
        <w:t>January</w:t>
      </w:r>
      <w:r w:rsidRPr="00A92006">
        <w:t xml:space="preserve"> </w:t>
      </w:r>
      <w:r>
        <w:t>20</w:t>
      </w:r>
      <w:r w:rsidRPr="00A92006">
        <w:t>, 20</w:t>
      </w:r>
      <w:r>
        <w:t>22.</w:t>
      </w:r>
    </w:p>
    <w:bookmarkEnd w:id="45"/>
    <w:p w14:paraId="01DC92B6" w14:textId="6EBCF2C6" w:rsidR="00277C53" w:rsidRDefault="001427A0" w:rsidP="00277C53">
      <w:r>
        <w:t>(</w:t>
      </w:r>
      <w:r w:rsidR="008F2D01">
        <w:t>3</w:t>
      </w:r>
      <w:r>
        <w:t>)</w:t>
      </w:r>
      <w:r>
        <w:tab/>
      </w:r>
      <w:r w:rsidR="00277C53" w:rsidRPr="00A92006">
        <w:t xml:space="preserve">Incorporated by reference from the registrant’s </w:t>
      </w:r>
      <w:r w:rsidR="00C10E11">
        <w:t>Annual</w:t>
      </w:r>
      <w:r w:rsidR="00277C53" w:rsidRPr="00A92006">
        <w:t xml:space="preserve"> Report on Form </w:t>
      </w:r>
      <w:r w:rsidR="00C10E11">
        <w:t>10</w:t>
      </w:r>
      <w:r w:rsidR="00277C53" w:rsidRPr="00A92006">
        <w:t xml:space="preserve">-K filed </w:t>
      </w:r>
      <w:r w:rsidR="00C10E11">
        <w:t>March</w:t>
      </w:r>
      <w:r w:rsidR="00277C53" w:rsidRPr="00A92006">
        <w:t xml:space="preserve"> </w:t>
      </w:r>
      <w:r w:rsidR="008F2D01">
        <w:t>9</w:t>
      </w:r>
      <w:r w:rsidR="00277C53" w:rsidRPr="00A92006">
        <w:t>, 20</w:t>
      </w:r>
      <w:r w:rsidR="00277C53">
        <w:t>2</w:t>
      </w:r>
      <w:r>
        <w:t>2</w:t>
      </w:r>
      <w:r w:rsidR="00277C53">
        <w:t>.</w:t>
      </w:r>
    </w:p>
    <w:p w14:paraId="2822A5D1" w14:textId="6F459B2A" w:rsidR="00A06004" w:rsidRDefault="00A06004" w:rsidP="00A06004">
      <w:r>
        <w:t>(4)</w:t>
      </w:r>
      <w:r>
        <w:tab/>
      </w:r>
      <w:r w:rsidRPr="00A92006">
        <w:t xml:space="preserve">Incorporated by reference from the registrant’s </w:t>
      </w:r>
      <w:r>
        <w:t>Current</w:t>
      </w:r>
      <w:r w:rsidRPr="00A92006">
        <w:t xml:space="preserve"> Report on Form </w:t>
      </w:r>
      <w:r>
        <w:t>8</w:t>
      </w:r>
      <w:r w:rsidRPr="00A92006">
        <w:t xml:space="preserve">-K filed </w:t>
      </w:r>
      <w:r>
        <w:t>May</w:t>
      </w:r>
      <w:r w:rsidRPr="00A92006">
        <w:t xml:space="preserve"> </w:t>
      </w:r>
      <w:r>
        <w:t>27</w:t>
      </w:r>
      <w:r w:rsidRPr="00A92006">
        <w:t>, 20</w:t>
      </w:r>
      <w:r>
        <w:t>22.</w:t>
      </w:r>
    </w:p>
    <w:p w14:paraId="5C5E9E6E" w14:textId="7E2E17BB" w:rsidR="004551EB" w:rsidRDefault="004551EB" w:rsidP="00A06004">
      <w:r>
        <w:t>(5)</w:t>
      </w:r>
      <w:r>
        <w:tab/>
        <w:t>Incorporated by reference from the registrant’s Quarterly Report on Form 10-Q filed August 3, 2022.</w:t>
      </w:r>
    </w:p>
    <w:p w14:paraId="61BA8EB6" w14:textId="77777777" w:rsidR="00A06004" w:rsidRDefault="00A06004" w:rsidP="00277C53"/>
    <w:p w14:paraId="0CA1CF67" w14:textId="369E5D3D" w:rsidR="00717940" w:rsidRDefault="00717940" w:rsidP="000A55AE"/>
    <w:p w14:paraId="685DB077" w14:textId="77777777" w:rsidR="00BD6BBE" w:rsidRPr="001C6303" w:rsidRDefault="00A87BFE">
      <w:pPr>
        <w:jc w:val="center"/>
        <w:rPr>
          <w:b/>
          <w:u w:val="single"/>
        </w:rPr>
      </w:pPr>
      <w:r w:rsidRPr="001C6303">
        <w:rPr>
          <w:b/>
          <w:u w:val="single"/>
        </w:rPr>
        <w:br w:type="page"/>
      </w:r>
      <w:r w:rsidR="00BD6BBE" w:rsidRPr="001C6303">
        <w:rPr>
          <w:b/>
          <w:u w:val="single"/>
        </w:rPr>
        <w:lastRenderedPageBreak/>
        <w:t>SIGNATURES</w:t>
      </w:r>
    </w:p>
    <w:p w14:paraId="6D47A5E3" w14:textId="77777777" w:rsidR="00BD6BBE" w:rsidRPr="001C6303" w:rsidRDefault="00BD6BBE"/>
    <w:p w14:paraId="70B3DB71" w14:textId="77777777" w:rsidR="00BD6BBE" w:rsidRPr="001C6303" w:rsidRDefault="00BD6BBE"/>
    <w:p w14:paraId="3EF66022" w14:textId="77777777" w:rsidR="00BD6BBE" w:rsidRPr="001C6303" w:rsidRDefault="00BD6BBE" w:rsidP="00F34FA5">
      <w:pPr>
        <w:pStyle w:val="BodyText"/>
      </w:pPr>
      <w:r w:rsidRPr="001C6303">
        <w:t xml:space="preserve">Pursuant to the requirements of the Securities Exchange Act of 1934, the Registrant has duly caused this </w:t>
      </w:r>
      <w:r w:rsidR="00646E48" w:rsidRPr="001C6303">
        <w:t>quarterly report on Form 10-Q</w:t>
      </w:r>
      <w:r w:rsidRPr="001C6303">
        <w:t xml:space="preserve"> to be signed on its behalf by the undersigned thereunto duly authorized.</w:t>
      </w:r>
    </w:p>
    <w:p w14:paraId="0CD2C95A" w14:textId="77777777" w:rsidR="00BD6BBE" w:rsidRPr="001C6303" w:rsidRDefault="00BD6BBE">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r>
      <w:r w:rsidR="00937D81" w:rsidRPr="001C6303">
        <w:rPr>
          <w:rFonts w:ascii="Times New Roman" w:hAnsi="Times New Roman"/>
        </w:rPr>
        <w:t>GEOVAX LABS</w:t>
      </w:r>
      <w:r w:rsidRPr="001C6303">
        <w:rPr>
          <w:rFonts w:ascii="Times New Roman" w:hAnsi="Times New Roman"/>
        </w:rPr>
        <w:t>, INC.</w:t>
      </w:r>
    </w:p>
    <w:p w14:paraId="0D8342BD" w14:textId="77777777" w:rsidR="00BD6BBE" w:rsidRPr="001C6303" w:rsidRDefault="00BD6BBE">
      <w:pPr>
        <w:tabs>
          <w:tab w:val="left" w:pos="5400"/>
        </w:tabs>
      </w:pPr>
      <w:r w:rsidRPr="001C6303">
        <w:tab/>
      </w:r>
      <w:r w:rsidRPr="001C6303">
        <w:tab/>
        <w:t>(Registrant)</w:t>
      </w:r>
    </w:p>
    <w:p w14:paraId="7FA3F33F" w14:textId="77777777" w:rsidR="00BD6BBE" w:rsidRPr="001C6303" w:rsidRDefault="00BD6BBE">
      <w:pPr>
        <w:tabs>
          <w:tab w:val="left" w:pos="720"/>
          <w:tab w:val="left" w:pos="5400"/>
        </w:tabs>
      </w:pPr>
    </w:p>
    <w:p w14:paraId="4FB7A6A1" w14:textId="77777777" w:rsidR="00BD6BBE" w:rsidRPr="001C6303" w:rsidRDefault="00BD6BBE">
      <w:pPr>
        <w:tabs>
          <w:tab w:val="left" w:pos="720"/>
          <w:tab w:val="left" w:pos="5400"/>
        </w:tabs>
      </w:pPr>
    </w:p>
    <w:p w14:paraId="53805A4F" w14:textId="6E8760E8" w:rsidR="00BD6BBE" w:rsidRPr="001C6303" w:rsidRDefault="005277CB">
      <w:pPr>
        <w:tabs>
          <w:tab w:val="left" w:pos="720"/>
          <w:tab w:val="left" w:pos="5400"/>
          <w:tab w:val="center" w:pos="7380"/>
        </w:tabs>
      </w:pPr>
      <w:r w:rsidRPr="001C6303">
        <w:t>Date:</w:t>
      </w:r>
      <w:r w:rsidRPr="001C6303">
        <w:tab/>
      </w:r>
      <w:r w:rsidR="00111C0F">
        <w:t>November</w:t>
      </w:r>
      <w:r w:rsidR="00E022F7">
        <w:t xml:space="preserve"> </w:t>
      </w:r>
      <w:r w:rsidR="00111C0F">
        <w:t>9</w:t>
      </w:r>
      <w:r w:rsidR="006B43ED" w:rsidRPr="00CD5558">
        <w:t>, 20</w:t>
      </w:r>
      <w:r w:rsidR="00717940">
        <w:t>2</w:t>
      </w:r>
      <w:r w:rsidR="00E022F7">
        <w:t>2</w:t>
      </w:r>
      <w:r w:rsidR="007B503B">
        <w:tab/>
      </w:r>
      <w:r w:rsidR="00BD6BBE" w:rsidRPr="001C6303">
        <w:t>By</w:t>
      </w:r>
      <w:r w:rsidR="00BD6BBE" w:rsidRPr="001C6303">
        <w:rPr>
          <w:u w:val="single"/>
        </w:rPr>
        <w:t>: /s/ Mark W. Reynolds        </w:t>
      </w:r>
    </w:p>
    <w:p w14:paraId="7E157125" w14:textId="77777777" w:rsidR="00BD6BBE" w:rsidRPr="001C6303" w:rsidRDefault="00937D81">
      <w:pPr>
        <w:pStyle w:val="Courier"/>
        <w:tabs>
          <w:tab w:val="left" w:pos="720"/>
          <w:tab w:val="left" w:pos="5400"/>
        </w:tabs>
        <w:rPr>
          <w:rFonts w:ascii="Times New Roman" w:hAnsi="Times New Roman"/>
        </w:rPr>
      </w:pPr>
      <w:r w:rsidRPr="001C6303">
        <w:rPr>
          <w:rFonts w:ascii="Times New Roman" w:hAnsi="Times New Roman"/>
        </w:rPr>
        <w:tab/>
      </w:r>
      <w:r w:rsidR="00BD6BBE" w:rsidRPr="001C6303">
        <w:rPr>
          <w:rFonts w:ascii="Times New Roman" w:hAnsi="Times New Roman"/>
        </w:rPr>
        <w:tab/>
      </w:r>
      <w:r w:rsidR="00BD6BBE" w:rsidRPr="001C6303">
        <w:rPr>
          <w:rFonts w:ascii="Times New Roman" w:hAnsi="Times New Roman"/>
        </w:rPr>
        <w:tab/>
        <w:t>Mark W. Reynolds</w:t>
      </w:r>
    </w:p>
    <w:p w14:paraId="17A2A097" w14:textId="77777777" w:rsidR="00BD6BBE" w:rsidRPr="001C6303" w:rsidRDefault="00BD6BBE">
      <w:pPr>
        <w:tabs>
          <w:tab w:val="left" w:pos="720"/>
          <w:tab w:val="left" w:pos="5400"/>
        </w:tabs>
      </w:pPr>
      <w:r w:rsidRPr="001C6303">
        <w:tab/>
      </w:r>
      <w:r w:rsidRPr="001C6303">
        <w:tab/>
      </w:r>
      <w:r w:rsidRPr="001C6303">
        <w:tab/>
        <w:t>Chief Financial Officer</w:t>
      </w:r>
    </w:p>
    <w:p w14:paraId="54F775FB" w14:textId="77777777" w:rsidR="00BD6BBE" w:rsidRPr="001C6303" w:rsidRDefault="00BD6BBE">
      <w:pPr>
        <w:tabs>
          <w:tab w:val="left" w:pos="720"/>
          <w:tab w:val="left" w:pos="5400"/>
        </w:tabs>
        <w:ind w:left="5760"/>
      </w:pPr>
      <w:r w:rsidRPr="001C6303">
        <w:rPr>
          <w:bCs/>
        </w:rPr>
        <w:t>(duly authorized officer and principal</w:t>
      </w:r>
      <w:r w:rsidRPr="001C6303">
        <w:rPr>
          <w:bCs/>
        </w:rPr>
        <w:br/>
        <w:t>financial officer)</w:t>
      </w:r>
    </w:p>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37"/>
      <w:headerReference w:type="default" r:id="rId38"/>
      <w:footerReference w:type="even" r:id="rId39"/>
      <w:footerReference w:type="default" r:id="rId40"/>
      <w:headerReference w:type="first" r:id="rId41"/>
      <w:footerReference w:type="first" r:id="rId42"/>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CBE4" w14:textId="77777777" w:rsidR="005F4662" w:rsidRDefault="005F4662">
      <w:r>
        <w:separator/>
      </w:r>
    </w:p>
  </w:endnote>
  <w:endnote w:type="continuationSeparator" w:id="0">
    <w:p w14:paraId="7804C108" w14:textId="77777777" w:rsidR="005F4662" w:rsidRDefault="005F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5BA6" w14:textId="77777777" w:rsidR="005F4662" w:rsidRDefault="005F4662"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772D582" w14:textId="77777777" w:rsidR="005F4662" w:rsidRDefault="005F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D819" w14:textId="77777777" w:rsidR="005F4662" w:rsidRDefault="005F4662">
    <w:pPr>
      <w:pStyle w:val="Footer"/>
      <w:framePr w:wrap="around" w:vAnchor="text" w:hAnchor="margin" w:xAlign="center" w:y="1"/>
      <w:rPr>
        <w:rStyle w:val="PageNumber"/>
      </w:rPr>
    </w:pPr>
  </w:p>
  <w:p w14:paraId="16540C0E" w14:textId="77777777" w:rsidR="005F4662" w:rsidRDefault="005F4662">
    <w:pPr>
      <w:pStyle w:val="Footer"/>
    </w:pPr>
  </w:p>
  <w:p w14:paraId="315F27D0" w14:textId="77777777" w:rsidR="005F4662" w:rsidRDefault="005F4662"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B8BCD02" w14:textId="11F50AD3" w:rsidR="005F4662" w:rsidRDefault="005F4662">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1D44A63D" w14:textId="77777777" w:rsidR="005F4662" w:rsidRDefault="005F4662"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D917"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5F4662" w:rsidRDefault="005F4662">
    <w:pPr>
      <w:pStyle w:val="Footer"/>
    </w:pPr>
  </w:p>
  <w:p w14:paraId="6BB4EA6F" w14:textId="5F8ECDA1" w:rsidR="005F4662" w:rsidRDefault="009B29F4" w:rsidP="003A5897">
    <w:pPr>
      <w:pStyle w:val="Footer"/>
    </w:pPr>
    <w:fldSimple w:instr=" DOCPROPERTY &quot;SWDocID&quot;  \* MERGEFORMAT ">
      <w:r w:rsidRPr="009B29F4">
        <w:rPr>
          <w:sz w:val="18"/>
        </w:rPr>
        <w:t>WCSR  3894443v2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9B4E" w14:textId="46775AA8"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190A3F9" w14:textId="77777777" w:rsidR="005F4662" w:rsidRDefault="005F4662">
    <w:pPr>
      <w:pStyle w:val="Footer"/>
    </w:pPr>
  </w:p>
  <w:p w14:paraId="54EF80D7" w14:textId="4C3755B0" w:rsidR="005F4662" w:rsidRDefault="005F4662" w:rsidP="003A5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FFC3" w14:textId="77777777"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5F4662" w:rsidRDefault="005F4662">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8380" w14:textId="020428AA" w:rsidR="005F4662" w:rsidRDefault="005F4662">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15</w:t>
    </w:r>
    <w:r>
      <w:rPr>
        <w:rStyle w:val="PageNumber"/>
        <w:sz w:val="19"/>
      </w:rPr>
      <w:fldChar w:fldCharType="end"/>
    </w:r>
  </w:p>
  <w:p w14:paraId="5509A841" w14:textId="77777777" w:rsidR="005F4662" w:rsidRDefault="005F4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82A3" w14:textId="77777777" w:rsidR="005F4662" w:rsidRDefault="005F466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8DBB" w14:textId="77777777" w:rsidR="005F4662" w:rsidRDefault="005F4662">
      <w:r>
        <w:separator/>
      </w:r>
    </w:p>
  </w:footnote>
  <w:footnote w:type="continuationSeparator" w:id="0">
    <w:p w14:paraId="055C4732" w14:textId="77777777" w:rsidR="005F4662" w:rsidRDefault="005F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9308" w14:textId="77777777" w:rsidR="005F4662" w:rsidRDefault="005F46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A9073" w14:textId="77777777" w:rsidR="005F4662" w:rsidRDefault="005F4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9AD5" w14:textId="77777777" w:rsidR="005F4662" w:rsidRDefault="005F4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C2D" w14:textId="77777777" w:rsidR="005F4662" w:rsidRDefault="005F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F292" w14:textId="77777777" w:rsidR="005F4662" w:rsidRDefault="005F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CC3" w14:textId="77777777" w:rsidR="005F4662" w:rsidRDefault="005F46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D29" w14:textId="77777777" w:rsidR="005F4662" w:rsidRDefault="005F4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5D70" w14:textId="77777777" w:rsidR="005F4662" w:rsidRDefault="005F4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4797" w14:textId="77777777" w:rsidR="005F4662" w:rsidRDefault="005F4662">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B2FE" w14:textId="77777777" w:rsidR="005F4662" w:rsidRDefault="005F4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AA9" w14:textId="77777777" w:rsidR="005F4662" w:rsidRDefault="005F46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3184" w14:textId="77777777" w:rsidR="005F4662" w:rsidRDefault="005F4662">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6097812">
    <w:abstractNumId w:val="3"/>
  </w:num>
  <w:num w:numId="2" w16cid:durableId="97019539">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1462108970">
    <w:abstractNumId w:val="6"/>
  </w:num>
  <w:num w:numId="4" w16cid:durableId="31922999">
    <w:abstractNumId w:val="4"/>
  </w:num>
  <w:num w:numId="5" w16cid:durableId="5831468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575631">
    <w:abstractNumId w:val="1"/>
  </w:num>
  <w:num w:numId="7" w16cid:durableId="918561998">
    <w:abstractNumId w:val="2"/>
  </w:num>
  <w:num w:numId="8" w16cid:durableId="1966542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7055740">
    <w:abstractNumId w:val="5"/>
  </w:num>
  <w:num w:numId="10" w16cid:durableId="1547378558">
    <w:abstractNumId w:val="10"/>
  </w:num>
  <w:num w:numId="11" w16cid:durableId="623535316">
    <w:abstractNumId w:val="8"/>
  </w:num>
  <w:num w:numId="12" w16cid:durableId="1753356331">
    <w:abstractNumId w:val="9"/>
  </w:num>
  <w:num w:numId="13" w16cid:durableId="64909389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US" w:vendorID="64" w:dllVersion="0"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1351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BAF"/>
    <w:rsid w:val="00000326"/>
    <w:rsid w:val="00001093"/>
    <w:rsid w:val="00001C8D"/>
    <w:rsid w:val="00002341"/>
    <w:rsid w:val="00003127"/>
    <w:rsid w:val="00003129"/>
    <w:rsid w:val="000031AA"/>
    <w:rsid w:val="000034E0"/>
    <w:rsid w:val="00003985"/>
    <w:rsid w:val="000045A2"/>
    <w:rsid w:val="00004976"/>
    <w:rsid w:val="00006146"/>
    <w:rsid w:val="00006D2A"/>
    <w:rsid w:val="00010534"/>
    <w:rsid w:val="000108EF"/>
    <w:rsid w:val="00010CDD"/>
    <w:rsid w:val="00011002"/>
    <w:rsid w:val="00011BEF"/>
    <w:rsid w:val="00012345"/>
    <w:rsid w:val="000127CB"/>
    <w:rsid w:val="000128C9"/>
    <w:rsid w:val="00012E6B"/>
    <w:rsid w:val="00015F1B"/>
    <w:rsid w:val="000162CE"/>
    <w:rsid w:val="000168CC"/>
    <w:rsid w:val="00017A17"/>
    <w:rsid w:val="000206F1"/>
    <w:rsid w:val="00021A09"/>
    <w:rsid w:val="0002202E"/>
    <w:rsid w:val="000237DB"/>
    <w:rsid w:val="0002391E"/>
    <w:rsid w:val="0002455D"/>
    <w:rsid w:val="000251EA"/>
    <w:rsid w:val="000253FD"/>
    <w:rsid w:val="00025C72"/>
    <w:rsid w:val="00025E86"/>
    <w:rsid w:val="000267C2"/>
    <w:rsid w:val="000311C2"/>
    <w:rsid w:val="00031A17"/>
    <w:rsid w:val="0003218D"/>
    <w:rsid w:val="00032EFE"/>
    <w:rsid w:val="00033091"/>
    <w:rsid w:val="000331E4"/>
    <w:rsid w:val="00033723"/>
    <w:rsid w:val="00036D88"/>
    <w:rsid w:val="0003701D"/>
    <w:rsid w:val="000371CC"/>
    <w:rsid w:val="00037DDA"/>
    <w:rsid w:val="00037F33"/>
    <w:rsid w:val="00041939"/>
    <w:rsid w:val="00041E98"/>
    <w:rsid w:val="000427E1"/>
    <w:rsid w:val="00045086"/>
    <w:rsid w:val="00045778"/>
    <w:rsid w:val="00045A27"/>
    <w:rsid w:val="000467AD"/>
    <w:rsid w:val="00046E77"/>
    <w:rsid w:val="000504C2"/>
    <w:rsid w:val="00050847"/>
    <w:rsid w:val="00050E31"/>
    <w:rsid w:val="000510FB"/>
    <w:rsid w:val="0005266E"/>
    <w:rsid w:val="00052BD0"/>
    <w:rsid w:val="00052C14"/>
    <w:rsid w:val="00052CED"/>
    <w:rsid w:val="000539A3"/>
    <w:rsid w:val="00053F1C"/>
    <w:rsid w:val="00054B43"/>
    <w:rsid w:val="00054F5F"/>
    <w:rsid w:val="000550F2"/>
    <w:rsid w:val="00055C21"/>
    <w:rsid w:val="000563AC"/>
    <w:rsid w:val="0005774A"/>
    <w:rsid w:val="00057822"/>
    <w:rsid w:val="00060DB0"/>
    <w:rsid w:val="000644BC"/>
    <w:rsid w:val="00065002"/>
    <w:rsid w:val="000654AF"/>
    <w:rsid w:val="00065B02"/>
    <w:rsid w:val="00066C41"/>
    <w:rsid w:val="00066DD7"/>
    <w:rsid w:val="0007076D"/>
    <w:rsid w:val="00071D6F"/>
    <w:rsid w:val="00072810"/>
    <w:rsid w:val="00074805"/>
    <w:rsid w:val="00075378"/>
    <w:rsid w:val="0007631A"/>
    <w:rsid w:val="00076ACC"/>
    <w:rsid w:val="00082209"/>
    <w:rsid w:val="0008274C"/>
    <w:rsid w:val="00085927"/>
    <w:rsid w:val="00086188"/>
    <w:rsid w:val="0008634B"/>
    <w:rsid w:val="00086A2F"/>
    <w:rsid w:val="000871E0"/>
    <w:rsid w:val="00087841"/>
    <w:rsid w:val="00087E6E"/>
    <w:rsid w:val="00087F53"/>
    <w:rsid w:val="00090FF4"/>
    <w:rsid w:val="000920EA"/>
    <w:rsid w:val="00094012"/>
    <w:rsid w:val="0009462E"/>
    <w:rsid w:val="000947D0"/>
    <w:rsid w:val="00095DD7"/>
    <w:rsid w:val="00096B1B"/>
    <w:rsid w:val="00096E33"/>
    <w:rsid w:val="000972C2"/>
    <w:rsid w:val="00097B30"/>
    <w:rsid w:val="000A3522"/>
    <w:rsid w:val="000A37E8"/>
    <w:rsid w:val="000A437C"/>
    <w:rsid w:val="000A49BE"/>
    <w:rsid w:val="000A4CB0"/>
    <w:rsid w:val="000A4DF8"/>
    <w:rsid w:val="000A5148"/>
    <w:rsid w:val="000A55AE"/>
    <w:rsid w:val="000A58BB"/>
    <w:rsid w:val="000A6576"/>
    <w:rsid w:val="000A6F1B"/>
    <w:rsid w:val="000B0FD9"/>
    <w:rsid w:val="000B12B0"/>
    <w:rsid w:val="000B1892"/>
    <w:rsid w:val="000B19B2"/>
    <w:rsid w:val="000B33FC"/>
    <w:rsid w:val="000B4A80"/>
    <w:rsid w:val="000B5975"/>
    <w:rsid w:val="000B5C16"/>
    <w:rsid w:val="000B5C24"/>
    <w:rsid w:val="000B648E"/>
    <w:rsid w:val="000B712F"/>
    <w:rsid w:val="000B7596"/>
    <w:rsid w:val="000B7D9B"/>
    <w:rsid w:val="000C0100"/>
    <w:rsid w:val="000C085D"/>
    <w:rsid w:val="000C18B5"/>
    <w:rsid w:val="000C3133"/>
    <w:rsid w:val="000C38A3"/>
    <w:rsid w:val="000C4495"/>
    <w:rsid w:val="000C44C8"/>
    <w:rsid w:val="000C47BC"/>
    <w:rsid w:val="000C50EF"/>
    <w:rsid w:val="000C6372"/>
    <w:rsid w:val="000C6642"/>
    <w:rsid w:val="000C6697"/>
    <w:rsid w:val="000C70FD"/>
    <w:rsid w:val="000D0077"/>
    <w:rsid w:val="000D15F1"/>
    <w:rsid w:val="000D3DC5"/>
    <w:rsid w:val="000D4459"/>
    <w:rsid w:val="000D4A4B"/>
    <w:rsid w:val="000D51BA"/>
    <w:rsid w:val="000D595F"/>
    <w:rsid w:val="000D599A"/>
    <w:rsid w:val="000D5CD5"/>
    <w:rsid w:val="000D5FA7"/>
    <w:rsid w:val="000D6F5A"/>
    <w:rsid w:val="000D7A76"/>
    <w:rsid w:val="000D7B7A"/>
    <w:rsid w:val="000E0FB3"/>
    <w:rsid w:val="000E213D"/>
    <w:rsid w:val="000E36B3"/>
    <w:rsid w:val="000E4EF2"/>
    <w:rsid w:val="000E5A74"/>
    <w:rsid w:val="000E5E04"/>
    <w:rsid w:val="000E6FF4"/>
    <w:rsid w:val="000E74A1"/>
    <w:rsid w:val="000E7698"/>
    <w:rsid w:val="000E7CAC"/>
    <w:rsid w:val="000F0905"/>
    <w:rsid w:val="000F0B9C"/>
    <w:rsid w:val="000F0F0D"/>
    <w:rsid w:val="000F202C"/>
    <w:rsid w:val="000F378F"/>
    <w:rsid w:val="000F3A7C"/>
    <w:rsid w:val="000F3D82"/>
    <w:rsid w:val="000F4B4D"/>
    <w:rsid w:val="000F57EC"/>
    <w:rsid w:val="000F5A92"/>
    <w:rsid w:val="000F6610"/>
    <w:rsid w:val="000F6A1C"/>
    <w:rsid w:val="000F7274"/>
    <w:rsid w:val="000F74E2"/>
    <w:rsid w:val="001000F4"/>
    <w:rsid w:val="00103160"/>
    <w:rsid w:val="00103750"/>
    <w:rsid w:val="001046B1"/>
    <w:rsid w:val="00105589"/>
    <w:rsid w:val="00105666"/>
    <w:rsid w:val="00105905"/>
    <w:rsid w:val="00106DDC"/>
    <w:rsid w:val="00106E6F"/>
    <w:rsid w:val="0011067F"/>
    <w:rsid w:val="00110954"/>
    <w:rsid w:val="00110E4D"/>
    <w:rsid w:val="00110F05"/>
    <w:rsid w:val="001113CE"/>
    <w:rsid w:val="0011183F"/>
    <w:rsid w:val="00111C0F"/>
    <w:rsid w:val="0011396A"/>
    <w:rsid w:val="00114043"/>
    <w:rsid w:val="001142B0"/>
    <w:rsid w:val="001157CC"/>
    <w:rsid w:val="00115A56"/>
    <w:rsid w:val="001166A1"/>
    <w:rsid w:val="00116DAF"/>
    <w:rsid w:val="00117869"/>
    <w:rsid w:val="001179AC"/>
    <w:rsid w:val="0012093F"/>
    <w:rsid w:val="00121A58"/>
    <w:rsid w:val="00121FBA"/>
    <w:rsid w:val="00124E8B"/>
    <w:rsid w:val="00125121"/>
    <w:rsid w:val="00125B03"/>
    <w:rsid w:val="00126366"/>
    <w:rsid w:val="00126621"/>
    <w:rsid w:val="00130959"/>
    <w:rsid w:val="00131C8E"/>
    <w:rsid w:val="001322CA"/>
    <w:rsid w:val="0013596C"/>
    <w:rsid w:val="00135F87"/>
    <w:rsid w:val="001362F2"/>
    <w:rsid w:val="001367D9"/>
    <w:rsid w:val="00137307"/>
    <w:rsid w:val="001373A9"/>
    <w:rsid w:val="001376F5"/>
    <w:rsid w:val="00137D87"/>
    <w:rsid w:val="00140C57"/>
    <w:rsid w:val="0014178D"/>
    <w:rsid w:val="00141A8D"/>
    <w:rsid w:val="00142598"/>
    <w:rsid w:val="001426C2"/>
    <w:rsid w:val="001427A0"/>
    <w:rsid w:val="001435F4"/>
    <w:rsid w:val="001436ED"/>
    <w:rsid w:val="00143709"/>
    <w:rsid w:val="00143716"/>
    <w:rsid w:val="00143C0E"/>
    <w:rsid w:val="001451E8"/>
    <w:rsid w:val="00146008"/>
    <w:rsid w:val="00146FFE"/>
    <w:rsid w:val="00147AF4"/>
    <w:rsid w:val="00150DA7"/>
    <w:rsid w:val="00152824"/>
    <w:rsid w:val="00154A23"/>
    <w:rsid w:val="00155130"/>
    <w:rsid w:val="001568E0"/>
    <w:rsid w:val="00156F0B"/>
    <w:rsid w:val="0016039E"/>
    <w:rsid w:val="001608A4"/>
    <w:rsid w:val="0016138B"/>
    <w:rsid w:val="00161492"/>
    <w:rsid w:val="001615D5"/>
    <w:rsid w:val="001619B6"/>
    <w:rsid w:val="00161A28"/>
    <w:rsid w:val="0016206A"/>
    <w:rsid w:val="00162B50"/>
    <w:rsid w:val="001630D7"/>
    <w:rsid w:val="0016377E"/>
    <w:rsid w:val="00163782"/>
    <w:rsid w:val="001653A6"/>
    <w:rsid w:val="0016579D"/>
    <w:rsid w:val="00165DE5"/>
    <w:rsid w:val="001664F3"/>
    <w:rsid w:val="00166A4A"/>
    <w:rsid w:val="001677CE"/>
    <w:rsid w:val="00170256"/>
    <w:rsid w:val="00171251"/>
    <w:rsid w:val="00172748"/>
    <w:rsid w:val="0017287E"/>
    <w:rsid w:val="00172BE4"/>
    <w:rsid w:val="00174B2B"/>
    <w:rsid w:val="00175858"/>
    <w:rsid w:val="00175A7C"/>
    <w:rsid w:val="001768F7"/>
    <w:rsid w:val="0017772C"/>
    <w:rsid w:val="00177E79"/>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F4A"/>
    <w:rsid w:val="0019103B"/>
    <w:rsid w:val="001939DD"/>
    <w:rsid w:val="00193EE5"/>
    <w:rsid w:val="0019480E"/>
    <w:rsid w:val="00194B80"/>
    <w:rsid w:val="00194BBD"/>
    <w:rsid w:val="00196742"/>
    <w:rsid w:val="00196909"/>
    <w:rsid w:val="0019693B"/>
    <w:rsid w:val="0019710F"/>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ECB"/>
    <w:rsid w:val="001B694B"/>
    <w:rsid w:val="001B7BD8"/>
    <w:rsid w:val="001C006E"/>
    <w:rsid w:val="001C0E17"/>
    <w:rsid w:val="001C1459"/>
    <w:rsid w:val="001C32F6"/>
    <w:rsid w:val="001C3695"/>
    <w:rsid w:val="001C37F3"/>
    <w:rsid w:val="001C3AC6"/>
    <w:rsid w:val="001C4BA5"/>
    <w:rsid w:val="001C4F8F"/>
    <w:rsid w:val="001C5077"/>
    <w:rsid w:val="001C62BA"/>
    <w:rsid w:val="001C6303"/>
    <w:rsid w:val="001C6599"/>
    <w:rsid w:val="001C6718"/>
    <w:rsid w:val="001C7065"/>
    <w:rsid w:val="001C7C53"/>
    <w:rsid w:val="001D44D7"/>
    <w:rsid w:val="001D4A52"/>
    <w:rsid w:val="001D6731"/>
    <w:rsid w:val="001D745A"/>
    <w:rsid w:val="001D7CCE"/>
    <w:rsid w:val="001E026B"/>
    <w:rsid w:val="001E0D7D"/>
    <w:rsid w:val="001E1B0D"/>
    <w:rsid w:val="001E2628"/>
    <w:rsid w:val="001E302D"/>
    <w:rsid w:val="001E43A8"/>
    <w:rsid w:val="001E4713"/>
    <w:rsid w:val="001E4E5D"/>
    <w:rsid w:val="001E6A3F"/>
    <w:rsid w:val="001E77F3"/>
    <w:rsid w:val="001E78A9"/>
    <w:rsid w:val="001E7B55"/>
    <w:rsid w:val="001F04BE"/>
    <w:rsid w:val="001F0568"/>
    <w:rsid w:val="001F09D0"/>
    <w:rsid w:val="001F0A16"/>
    <w:rsid w:val="001F2008"/>
    <w:rsid w:val="001F251F"/>
    <w:rsid w:val="001F2E8C"/>
    <w:rsid w:val="001F4209"/>
    <w:rsid w:val="001F62EC"/>
    <w:rsid w:val="001F7F86"/>
    <w:rsid w:val="002024CE"/>
    <w:rsid w:val="002025C3"/>
    <w:rsid w:val="00202BAB"/>
    <w:rsid w:val="0020331B"/>
    <w:rsid w:val="002048CA"/>
    <w:rsid w:val="00205913"/>
    <w:rsid w:val="002059C0"/>
    <w:rsid w:val="00205B29"/>
    <w:rsid w:val="0021186D"/>
    <w:rsid w:val="002127A7"/>
    <w:rsid w:val="00212E42"/>
    <w:rsid w:val="00212E76"/>
    <w:rsid w:val="00212F30"/>
    <w:rsid w:val="00213FD9"/>
    <w:rsid w:val="00214014"/>
    <w:rsid w:val="00214555"/>
    <w:rsid w:val="00215A77"/>
    <w:rsid w:val="0021705A"/>
    <w:rsid w:val="00217A79"/>
    <w:rsid w:val="00217DF9"/>
    <w:rsid w:val="0022051E"/>
    <w:rsid w:val="0022126F"/>
    <w:rsid w:val="002239C8"/>
    <w:rsid w:val="00223A0E"/>
    <w:rsid w:val="0022458D"/>
    <w:rsid w:val="00224660"/>
    <w:rsid w:val="0022515F"/>
    <w:rsid w:val="002254C4"/>
    <w:rsid w:val="002259F1"/>
    <w:rsid w:val="002260F6"/>
    <w:rsid w:val="00226729"/>
    <w:rsid w:val="002300D1"/>
    <w:rsid w:val="00231346"/>
    <w:rsid w:val="00231AD7"/>
    <w:rsid w:val="00234F72"/>
    <w:rsid w:val="00235CCA"/>
    <w:rsid w:val="00236AFC"/>
    <w:rsid w:val="00237166"/>
    <w:rsid w:val="00237A64"/>
    <w:rsid w:val="00237AEE"/>
    <w:rsid w:val="002401F7"/>
    <w:rsid w:val="00240B57"/>
    <w:rsid w:val="00241293"/>
    <w:rsid w:val="00243245"/>
    <w:rsid w:val="0024365D"/>
    <w:rsid w:val="0024386A"/>
    <w:rsid w:val="00243F27"/>
    <w:rsid w:val="00244465"/>
    <w:rsid w:val="00244A54"/>
    <w:rsid w:val="00244F17"/>
    <w:rsid w:val="00245CAF"/>
    <w:rsid w:val="00245E4D"/>
    <w:rsid w:val="00246D74"/>
    <w:rsid w:val="00246F1D"/>
    <w:rsid w:val="00246F50"/>
    <w:rsid w:val="002473DD"/>
    <w:rsid w:val="002475ED"/>
    <w:rsid w:val="00247B7A"/>
    <w:rsid w:val="00247EFB"/>
    <w:rsid w:val="002503B0"/>
    <w:rsid w:val="00251EE8"/>
    <w:rsid w:val="0025217A"/>
    <w:rsid w:val="00252A1C"/>
    <w:rsid w:val="002533CA"/>
    <w:rsid w:val="00253985"/>
    <w:rsid w:val="00255075"/>
    <w:rsid w:val="0025615B"/>
    <w:rsid w:val="00256529"/>
    <w:rsid w:val="002567E8"/>
    <w:rsid w:val="00257446"/>
    <w:rsid w:val="002575DB"/>
    <w:rsid w:val="00257A5A"/>
    <w:rsid w:val="00260D4C"/>
    <w:rsid w:val="002615A4"/>
    <w:rsid w:val="00263DE8"/>
    <w:rsid w:val="00263E8F"/>
    <w:rsid w:val="00263F3A"/>
    <w:rsid w:val="00264164"/>
    <w:rsid w:val="00264347"/>
    <w:rsid w:val="002648E3"/>
    <w:rsid w:val="00264F2B"/>
    <w:rsid w:val="00265232"/>
    <w:rsid w:val="00265917"/>
    <w:rsid w:val="00265FE0"/>
    <w:rsid w:val="002703B5"/>
    <w:rsid w:val="00270616"/>
    <w:rsid w:val="00270FAD"/>
    <w:rsid w:val="0027114F"/>
    <w:rsid w:val="00271E59"/>
    <w:rsid w:val="00272B03"/>
    <w:rsid w:val="00272B87"/>
    <w:rsid w:val="00272D9F"/>
    <w:rsid w:val="00273176"/>
    <w:rsid w:val="00273F9E"/>
    <w:rsid w:val="002747DD"/>
    <w:rsid w:val="00276836"/>
    <w:rsid w:val="00276CF2"/>
    <w:rsid w:val="00277679"/>
    <w:rsid w:val="00277C53"/>
    <w:rsid w:val="00277F5A"/>
    <w:rsid w:val="00280782"/>
    <w:rsid w:val="00281393"/>
    <w:rsid w:val="00282224"/>
    <w:rsid w:val="002824B6"/>
    <w:rsid w:val="002825FD"/>
    <w:rsid w:val="00282695"/>
    <w:rsid w:val="00282C60"/>
    <w:rsid w:val="002830D0"/>
    <w:rsid w:val="00283298"/>
    <w:rsid w:val="00284352"/>
    <w:rsid w:val="00284967"/>
    <w:rsid w:val="00284A96"/>
    <w:rsid w:val="00285F4C"/>
    <w:rsid w:val="00286211"/>
    <w:rsid w:val="00286CD3"/>
    <w:rsid w:val="00286E88"/>
    <w:rsid w:val="00287997"/>
    <w:rsid w:val="00287B37"/>
    <w:rsid w:val="00291018"/>
    <w:rsid w:val="002916DB"/>
    <w:rsid w:val="002924FD"/>
    <w:rsid w:val="00292DA5"/>
    <w:rsid w:val="002940C2"/>
    <w:rsid w:val="00294C62"/>
    <w:rsid w:val="002953C2"/>
    <w:rsid w:val="0029604A"/>
    <w:rsid w:val="00296B9C"/>
    <w:rsid w:val="00297C39"/>
    <w:rsid w:val="002A0849"/>
    <w:rsid w:val="002A1016"/>
    <w:rsid w:val="002A1D5B"/>
    <w:rsid w:val="002A2053"/>
    <w:rsid w:val="002A33CE"/>
    <w:rsid w:val="002A3612"/>
    <w:rsid w:val="002A3643"/>
    <w:rsid w:val="002A366D"/>
    <w:rsid w:val="002A36E7"/>
    <w:rsid w:val="002A3CEB"/>
    <w:rsid w:val="002A4B7D"/>
    <w:rsid w:val="002A56A7"/>
    <w:rsid w:val="002A6173"/>
    <w:rsid w:val="002A64CF"/>
    <w:rsid w:val="002A7C8A"/>
    <w:rsid w:val="002B008D"/>
    <w:rsid w:val="002B012B"/>
    <w:rsid w:val="002B0148"/>
    <w:rsid w:val="002B05F2"/>
    <w:rsid w:val="002B11D6"/>
    <w:rsid w:val="002B1518"/>
    <w:rsid w:val="002B1A30"/>
    <w:rsid w:val="002B1CDF"/>
    <w:rsid w:val="002B272D"/>
    <w:rsid w:val="002B2736"/>
    <w:rsid w:val="002B2F55"/>
    <w:rsid w:val="002B36F9"/>
    <w:rsid w:val="002B3F5E"/>
    <w:rsid w:val="002B56A2"/>
    <w:rsid w:val="002B66E4"/>
    <w:rsid w:val="002B6D7D"/>
    <w:rsid w:val="002B6F6C"/>
    <w:rsid w:val="002B71C6"/>
    <w:rsid w:val="002C064C"/>
    <w:rsid w:val="002C15DA"/>
    <w:rsid w:val="002C1FD0"/>
    <w:rsid w:val="002C26C7"/>
    <w:rsid w:val="002C2BDB"/>
    <w:rsid w:val="002C4265"/>
    <w:rsid w:val="002C446F"/>
    <w:rsid w:val="002C4612"/>
    <w:rsid w:val="002C47DA"/>
    <w:rsid w:val="002C503A"/>
    <w:rsid w:val="002C65AC"/>
    <w:rsid w:val="002C6627"/>
    <w:rsid w:val="002C6B31"/>
    <w:rsid w:val="002C785E"/>
    <w:rsid w:val="002D0356"/>
    <w:rsid w:val="002D1230"/>
    <w:rsid w:val="002D19A2"/>
    <w:rsid w:val="002D1A5A"/>
    <w:rsid w:val="002D2C1C"/>
    <w:rsid w:val="002D363C"/>
    <w:rsid w:val="002D47BF"/>
    <w:rsid w:val="002D50D9"/>
    <w:rsid w:val="002D627A"/>
    <w:rsid w:val="002D676E"/>
    <w:rsid w:val="002D6A9E"/>
    <w:rsid w:val="002D75EF"/>
    <w:rsid w:val="002D7837"/>
    <w:rsid w:val="002E10BA"/>
    <w:rsid w:val="002E2877"/>
    <w:rsid w:val="002E3CAF"/>
    <w:rsid w:val="002E449A"/>
    <w:rsid w:val="002E4A22"/>
    <w:rsid w:val="002E4FAF"/>
    <w:rsid w:val="002E5D06"/>
    <w:rsid w:val="002E74EF"/>
    <w:rsid w:val="002E7E14"/>
    <w:rsid w:val="002F05B7"/>
    <w:rsid w:val="002F0916"/>
    <w:rsid w:val="002F1439"/>
    <w:rsid w:val="002F1B97"/>
    <w:rsid w:val="002F3700"/>
    <w:rsid w:val="002F3AA2"/>
    <w:rsid w:val="002F3BEB"/>
    <w:rsid w:val="002F53D1"/>
    <w:rsid w:val="00300507"/>
    <w:rsid w:val="0030310F"/>
    <w:rsid w:val="0030340E"/>
    <w:rsid w:val="003039A5"/>
    <w:rsid w:val="00304332"/>
    <w:rsid w:val="0030455A"/>
    <w:rsid w:val="00306812"/>
    <w:rsid w:val="00306F1D"/>
    <w:rsid w:val="00307685"/>
    <w:rsid w:val="00310F92"/>
    <w:rsid w:val="0031109D"/>
    <w:rsid w:val="003113F2"/>
    <w:rsid w:val="00311621"/>
    <w:rsid w:val="00312A9D"/>
    <w:rsid w:val="00312F8D"/>
    <w:rsid w:val="003137A1"/>
    <w:rsid w:val="00314494"/>
    <w:rsid w:val="00315051"/>
    <w:rsid w:val="003161F3"/>
    <w:rsid w:val="00316ABB"/>
    <w:rsid w:val="003179B8"/>
    <w:rsid w:val="00320832"/>
    <w:rsid w:val="00320C55"/>
    <w:rsid w:val="0032202F"/>
    <w:rsid w:val="00323128"/>
    <w:rsid w:val="00323150"/>
    <w:rsid w:val="00324708"/>
    <w:rsid w:val="0032570B"/>
    <w:rsid w:val="003268F2"/>
    <w:rsid w:val="00330817"/>
    <w:rsid w:val="00330A8F"/>
    <w:rsid w:val="00330DCA"/>
    <w:rsid w:val="00331007"/>
    <w:rsid w:val="00331503"/>
    <w:rsid w:val="003327BF"/>
    <w:rsid w:val="003329F8"/>
    <w:rsid w:val="00332FB0"/>
    <w:rsid w:val="00333260"/>
    <w:rsid w:val="00333843"/>
    <w:rsid w:val="00333E38"/>
    <w:rsid w:val="00334FCA"/>
    <w:rsid w:val="00335393"/>
    <w:rsid w:val="0033576A"/>
    <w:rsid w:val="00335EFC"/>
    <w:rsid w:val="00335FCC"/>
    <w:rsid w:val="003360CE"/>
    <w:rsid w:val="00337294"/>
    <w:rsid w:val="0034086E"/>
    <w:rsid w:val="00340889"/>
    <w:rsid w:val="0034148D"/>
    <w:rsid w:val="00342196"/>
    <w:rsid w:val="00343765"/>
    <w:rsid w:val="003441A0"/>
    <w:rsid w:val="00344350"/>
    <w:rsid w:val="00344595"/>
    <w:rsid w:val="00344EA6"/>
    <w:rsid w:val="003463A0"/>
    <w:rsid w:val="003467A5"/>
    <w:rsid w:val="00346823"/>
    <w:rsid w:val="0034697D"/>
    <w:rsid w:val="0034732B"/>
    <w:rsid w:val="0035003D"/>
    <w:rsid w:val="00350671"/>
    <w:rsid w:val="0035085F"/>
    <w:rsid w:val="00350D62"/>
    <w:rsid w:val="003513DB"/>
    <w:rsid w:val="00351AC8"/>
    <w:rsid w:val="00352743"/>
    <w:rsid w:val="003535E6"/>
    <w:rsid w:val="003542D2"/>
    <w:rsid w:val="00354595"/>
    <w:rsid w:val="00356734"/>
    <w:rsid w:val="003567C7"/>
    <w:rsid w:val="00356AD1"/>
    <w:rsid w:val="0035777C"/>
    <w:rsid w:val="00357DC8"/>
    <w:rsid w:val="00357E0B"/>
    <w:rsid w:val="00361012"/>
    <w:rsid w:val="003615B2"/>
    <w:rsid w:val="00361F10"/>
    <w:rsid w:val="00363680"/>
    <w:rsid w:val="0036411A"/>
    <w:rsid w:val="00365F57"/>
    <w:rsid w:val="003669F6"/>
    <w:rsid w:val="0036720F"/>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32D9"/>
    <w:rsid w:val="00384143"/>
    <w:rsid w:val="00384F51"/>
    <w:rsid w:val="00385703"/>
    <w:rsid w:val="00385E2F"/>
    <w:rsid w:val="00386021"/>
    <w:rsid w:val="00386760"/>
    <w:rsid w:val="00387105"/>
    <w:rsid w:val="00387333"/>
    <w:rsid w:val="003900DF"/>
    <w:rsid w:val="00391F19"/>
    <w:rsid w:val="0039222C"/>
    <w:rsid w:val="0039241A"/>
    <w:rsid w:val="003927C1"/>
    <w:rsid w:val="0039294F"/>
    <w:rsid w:val="00394451"/>
    <w:rsid w:val="003944F2"/>
    <w:rsid w:val="0039467E"/>
    <w:rsid w:val="00395F83"/>
    <w:rsid w:val="00396286"/>
    <w:rsid w:val="003A0C0D"/>
    <w:rsid w:val="003A21F9"/>
    <w:rsid w:val="003A2390"/>
    <w:rsid w:val="003A420F"/>
    <w:rsid w:val="003A50B1"/>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224"/>
    <w:rsid w:val="003D0372"/>
    <w:rsid w:val="003D0FFF"/>
    <w:rsid w:val="003D173F"/>
    <w:rsid w:val="003D2CA5"/>
    <w:rsid w:val="003D3EA8"/>
    <w:rsid w:val="003D5252"/>
    <w:rsid w:val="003D663A"/>
    <w:rsid w:val="003D6A75"/>
    <w:rsid w:val="003D719E"/>
    <w:rsid w:val="003E2267"/>
    <w:rsid w:val="003E2B17"/>
    <w:rsid w:val="003E425C"/>
    <w:rsid w:val="003E4B17"/>
    <w:rsid w:val="003E4BC5"/>
    <w:rsid w:val="003E5086"/>
    <w:rsid w:val="003E6788"/>
    <w:rsid w:val="003E67B3"/>
    <w:rsid w:val="003E7124"/>
    <w:rsid w:val="003E7450"/>
    <w:rsid w:val="003F38DE"/>
    <w:rsid w:val="003F3C5A"/>
    <w:rsid w:val="003F3F98"/>
    <w:rsid w:val="003F4F6C"/>
    <w:rsid w:val="003F5257"/>
    <w:rsid w:val="003F664C"/>
    <w:rsid w:val="003F6C32"/>
    <w:rsid w:val="003F7E05"/>
    <w:rsid w:val="00400247"/>
    <w:rsid w:val="004008BE"/>
    <w:rsid w:val="004008E8"/>
    <w:rsid w:val="00400AFE"/>
    <w:rsid w:val="00400D6F"/>
    <w:rsid w:val="0040231A"/>
    <w:rsid w:val="00402BA5"/>
    <w:rsid w:val="00403122"/>
    <w:rsid w:val="004034E9"/>
    <w:rsid w:val="00404CBC"/>
    <w:rsid w:val="00405129"/>
    <w:rsid w:val="0040627F"/>
    <w:rsid w:val="004068BC"/>
    <w:rsid w:val="00407464"/>
    <w:rsid w:val="004075BE"/>
    <w:rsid w:val="0041180F"/>
    <w:rsid w:val="00411BD1"/>
    <w:rsid w:val="00411C0E"/>
    <w:rsid w:val="004140BF"/>
    <w:rsid w:val="00414ADC"/>
    <w:rsid w:val="0041620A"/>
    <w:rsid w:val="004203C0"/>
    <w:rsid w:val="00420D59"/>
    <w:rsid w:val="00423C1B"/>
    <w:rsid w:val="00425B36"/>
    <w:rsid w:val="00425BBF"/>
    <w:rsid w:val="00427848"/>
    <w:rsid w:val="00427CB9"/>
    <w:rsid w:val="004332CF"/>
    <w:rsid w:val="00433E3C"/>
    <w:rsid w:val="0043475C"/>
    <w:rsid w:val="004351C7"/>
    <w:rsid w:val="00435288"/>
    <w:rsid w:val="004357D8"/>
    <w:rsid w:val="00435BCD"/>
    <w:rsid w:val="00435FCE"/>
    <w:rsid w:val="00436318"/>
    <w:rsid w:val="00436B74"/>
    <w:rsid w:val="00437A00"/>
    <w:rsid w:val="004413A2"/>
    <w:rsid w:val="00442E1C"/>
    <w:rsid w:val="004436F2"/>
    <w:rsid w:val="00444503"/>
    <w:rsid w:val="00446351"/>
    <w:rsid w:val="0044760B"/>
    <w:rsid w:val="004477EF"/>
    <w:rsid w:val="004506F6"/>
    <w:rsid w:val="0045103B"/>
    <w:rsid w:val="004511C6"/>
    <w:rsid w:val="00451563"/>
    <w:rsid w:val="0045277A"/>
    <w:rsid w:val="00452D3C"/>
    <w:rsid w:val="00453AD4"/>
    <w:rsid w:val="004549A7"/>
    <w:rsid w:val="004551EB"/>
    <w:rsid w:val="00456E9A"/>
    <w:rsid w:val="00457098"/>
    <w:rsid w:val="00457C00"/>
    <w:rsid w:val="00460775"/>
    <w:rsid w:val="004612F7"/>
    <w:rsid w:val="0046257C"/>
    <w:rsid w:val="0046273F"/>
    <w:rsid w:val="0046286C"/>
    <w:rsid w:val="00462D62"/>
    <w:rsid w:val="00463064"/>
    <w:rsid w:val="00463FB7"/>
    <w:rsid w:val="004640D8"/>
    <w:rsid w:val="00464893"/>
    <w:rsid w:val="004662A2"/>
    <w:rsid w:val="00466C11"/>
    <w:rsid w:val="00467265"/>
    <w:rsid w:val="00470774"/>
    <w:rsid w:val="0047335B"/>
    <w:rsid w:val="00474127"/>
    <w:rsid w:val="0048157D"/>
    <w:rsid w:val="00482106"/>
    <w:rsid w:val="004821FA"/>
    <w:rsid w:val="0048252D"/>
    <w:rsid w:val="00483834"/>
    <w:rsid w:val="00483B91"/>
    <w:rsid w:val="00483E00"/>
    <w:rsid w:val="00484A73"/>
    <w:rsid w:val="00484BB3"/>
    <w:rsid w:val="00484BB9"/>
    <w:rsid w:val="00485558"/>
    <w:rsid w:val="0048591D"/>
    <w:rsid w:val="00486466"/>
    <w:rsid w:val="00486728"/>
    <w:rsid w:val="00487CAB"/>
    <w:rsid w:val="004901C9"/>
    <w:rsid w:val="004905B9"/>
    <w:rsid w:val="00491083"/>
    <w:rsid w:val="00493BB7"/>
    <w:rsid w:val="00493E48"/>
    <w:rsid w:val="00495FB2"/>
    <w:rsid w:val="00496098"/>
    <w:rsid w:val="0049614B"/>
    <w:rsid w:val="00496902"/>
    <w:rsid w:val="004A028C"/>
    <w:rsid w:val="004A05A5"/>
    <w:rsid w:val="004A06DF"/>
    <w:rsid w:val="004A3014"/>
    <w:rsid w:val="004A3A49"/>
    <w:rsid w:val="004A4DC6"/>
    <w:rsid w:val="004A5665"/>
    <w:rsid w:val="004A5874"/>
    <w:rsid w:val="004A5F4E"/>
    <w:rsid w:val="004A6891"/>
    <w:rsid w:val="004A7B3F"/>
    <w:rsid w:val="004B0174"/>
    <w:rsid w:val="004B063C"/>
    <w:rsid w:val="004B2EEB"/>
    <w:rsid w:val="004B3413"/>
    <w:rsid w:val="004B3FF6"/>
    <w:rsid w:val="004B43AC"/>
    <w:rsid w:val="004B5102"/>
    <w:rsid w:val="004B5435"/>
    <w:rsid w:val="004B5B77"/>
    <w:rsid w:val="004B5DC9"/>
    <w:rsid w:val="004B5DF1"/>
    <w:rsid w:val="004B6E93"/>
    <w:rsid w:val="004B7205"/>
    <w:rsid w:val="004B7AC9"/>
    <w:rsid w:val="004C0A63"/>
    <w:rsid w:val="004C149C"/>
    <w:rsid w:val="004C192E"/>
    <w:rsid w:val="004C3FBC"/>
    <w:rsid w:val="004C434E"/>
    <w:rsid w:val="004C5060"/>
    <w:rsid w:val="004C570D"/>
    <w:rsid w:val="004C61BB"/>
    <w:rsid w:val="004C6488"/>
    <w:rsid w:val="004C77EE"/>
    <w:rsid w:val="004D1CDF"/>
    <w:rsid w:val="004D2502"/>
    <w:rsid w:val="004D27B4"/>
    <w:rsid w:val="004D285A"/>
    <w:rsid w:val="004D2A78"/>
    <w:rsid w:val="004D2E2F"/>
    <w:rsid w:val="004D40D8"/>
    <w:rsid w:val="004D4562"/>
    <w:rsid w:val="004D5228"/>
    <w:rsid w:val="004D58F1"/>
    <w:rsid w:val="004D5F4F"/>
    <w:rsid w:val="004D61A5"/>
    <w:rsid w:val="004D6825"/>
    <w:rsid w:val="004D6F0F"/>
    <w:rsid w:val="004D6F55"/>
    <w:rsid w:val="004D78A3"/>
    <w:rsid w:val="004E07F6"/>
    <w:rsid w:val="004E11CB"/>
    <w:rsid w:val="004E21C8"/>
    <w:rsid w:val="004E3374"/>
    <w:rsid w:val="004E3B36"/>
    <w:rsid w:val="004E564C"/>
    <w:rsid w:val="004E5BEA"/>
    <w:rsid w:val="004E5E4C"/>
    <w:rsid w:val="004F2FF4"/>
    <w:rsid w:val="004F3E9C"/>
    <w:rsid w:val="004F479E"/>
    <w:rsid w:val="004F529E"/>
    <w:rsid w:val="004F5363"/>
    <w:rsid w:val="004F596C"/>
    <w:rsid w:val="004F6699"/>
    <w:rsid w:val="004F6810"/>
    <w:rsid w:val="004F6B5D"/>
    <w:rsid w:val="004F7572"/>
    <w:rsid w:val="005003DA"/>
    <w:rsid w:val="0050175E"/>
    <w:rsid w:val="00501EEA"/>
    <w:rsid w:val="005024A5"/>
    <w:rsid w:val="005024F5"/>
    <w:rsid w:val="005025D3"/>
    <w:rsid w:val="00502870"/>
    <w:rsid w:val="005036D4"/>
    <w:rsid w:val="00504189"/>
    <w:rsid w:val="00504E21"/>
    <w:rsid w:val="00506C8E"/>
    <w:rsid w:val="00507645"/>
    <w:rsid w:val="00507DB9"/>
    <w:rsid w:val="00507FFA"/>
    <w:rsid w:val="005105AA"/>
    <w:rsid w:val="005105D4"/>
    <w:rsid w:val="00511410"/>
    <w:rsid w:val="0051605E"/>
    <w:rsid w:val="0051766F"/>
    <w:rsid w:val="005177BD"/>
    <w:rsid w:val="00521F32"/>
    <w:rsid w:val="005220EF"/>
    <w:rsid w:val="00522582"/>
    <w:rsid w:val="0052366F"/>
    <w:rsid w:val="00523C32"/>
    <w:rsid w:val="00524636"/>
    <w:rsid w:val="005268FE"/>
    <w:rsid w:val="005277CB"/>
    <w:rsid w:val="00527F02"/>
    <w:rsid w:val="005310C7"/>
    <w:rsid w:val="00531A71"/>
    <w:rsid w:val="00532083"/>
    <w:rsid w:val="00532502"/>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1CEB"/>
    <w:rsid w:val="005420B5"/>
    <w:rsid w:val="00542591"/>
    <w:rsid w:val="0054260E"/>
    <w:rsid w:val="00542F8A"/>
    <w:rsid w:val="0054308C"/>
    <w:rsid w:val="005432D0"/>
    <w:rsid w:val="005437E2"/>
    <w:rsid w:val="005439CD"/>
    <w:rsid w:val="00543BC2"/>
    <w:rsid w:val="005445FB"/>
    <w:rsid w:val="005450C3"/>
    <w:rsid w:val="00546BAF"/>
    <w:rsid w:val="005503FC"/>
    <w:rsid w:val="00550CE0"/>
    <w:rsid w:val="00551AD4"/>
    <w:rsid w:val="00551B36"/>
    <w:rsid w:val="00552064"/>
    <w:rsid w:val="00553221"/>
    <w:rsid w:val="00553AEA"/>
    <w:rsid w:val="00554371"/>
    <w:rsid w:val="0055467E"/>
    <w:rsid w:val="00557049"/>
    <w:rsid w:val="005570D6"/>
    <w:rsid w:val="00560065"/>
    <w:rsid w:val="00561271"/>
    <w:rsid w:val="0056383C"/>
    <w:rsid w:val="00564078"/>
    <w:rsid w:val="005641C0"/>
    <w:rsid w:val="00565257"/>
    <w:rsid w:val="005652BD"/>
    <w:rsid w:val="00565650"/>
    <w:rsid w:val="0056581D"/>
    <w:rsid w:val="00565A68"/>
    <w:rsid w:val="005661A8"/>
    <w:rsid w:val="0057050B"/>
    <w:rsid w:val="005731CC"/>
    <w:rsid w:val="005737C3"/>
    <w:rsid w:val="00574A25"/>
    <w:rsid w:val="0057563D"/>
    <w:rsid w:val="0057572B"/>
    <w:rsid w:val="00576C19"/>
    <w:rsid w:val="0057743A"/>
    <w:rsid w:val="005776D5"/>
    <w:rsid w:val="00577A08"/>
    <w:rsid w:val="00580F8A"/>
    <w:rsid w:val="0058175D"/>
    <w:rsid w:val="00581EE6"/>
    <w:rsid w:val="00582294"/>
    <w:rsid w:val="0058293D"/>
    <w:rsid w:val="00583B2A"/>
    <w:rsid w:val="0058507E"/>
    <w:rsid w:val="00585725"/>
    <w:rsid w:val="00585E89"/>
    <w:rsid w:val="00586B72"/>
    <w:rsid w:val="00587925"/>
    <w:rsid w:val="005879BD"/>
    <w:rsid w:val="005903E6"/>
    <w:rsid w:val="00590AFC"/>
    <w:rsid w:val="005916C0"/>
    <w:rsid w:val="005918D5"/>
    <w:rsid w:val="005922F5"/>
    <w:rsid w:val="00592D98"/>
    <w:rsid w:val="00593889"/>
    <w:rsid w:val="00593DF1"/>
    <w:rsid w:val="00593EB6"/>
    <w:rsid w:val="005940FA"/>
    <w:rsid w:val="00594438"/>
    <w:rsid w:val="00595E6C"/>
    <w:rsid w:val="005A0080"/>
    <w:rsid w:val="005A04E5"/>
    <w:rsid w:val="005A1611"/>
    <w:rsid w:val="005A1716"/>
    <w:rsid w:val="005A175B"/>
    <w:rsid w:val="005A2265"/>
    <w:rsid w:val="005A4699"/>
    <w:rsid w:val="005A7B56"/>
    <w:rsid w:val="005B0364"/>
    <w:rsid w:val="005B043B"/>
    <w:rsid w:val="005B092C"/>
    <w:rsid w:val="005B12C6"/>
    <w:rsid w:val="005B1AC2"/>
    <w:rsid w:val="005B3E3F"/>
    <w:rsid w:val="005B4AEA"/>
    <w:rsid w:val="005B4FAC"/>
    <w:rsid w:val="005B58B3"/>
    <w:rsid w:val="005B61C4"/>
    <w:rsid w:val="005B6CD8"/>
    <w:rsid w:val="005B6EF5"/>
    <w:rsid w:val="005B70E8"/>
    <w:rsid w:val="005B7AA7"/>
    <w:rsid w:val="005B7D6F"/>
    <w:rsid w:val="005B7E33"/>
    <w:rsid w:val="005C048B"/>
    <w:rsid w:val="005C04A2"/>
    <w:rsid w:val="005C1072"/>
    <w:rsid w:val="005C1E20"/>
    <w:rsid w:val="005C202D"/>
    <w:rsid w:val="005C3311"/>
    <w:rsid w:val="005C5025"/>
    <w:rsid w:val="005C6958"/>
    <w:rsid w:val="005D0043"/>
    <w:rsid w:val="005D043E"/>
    <w:rsid w:val="005D2328"/>
    <w:rsid w:val="005D2491"/>
    <w:rsid w:val="005D2500"/>
    <w:rsid w:val="005D251A"/>
    <w:rsid w:val="005D2DB8"/>
    <w:rsid w:val="005D2DE8"/>
    <w:rsid w:val="005D347D"/>
    <w:rsid w:val="005D4939"/>
    <w:rsid w:val="005D5785"/>
    <w:rsid w:val="005D6991"/>
    <w:rsid w:val="005D74D5"/>
    <w:rsid w:val="005D79A2"/>
    <w:rsid w:val="005E032F"/>
    <w:rsid w:val="005E0913"/>
    <w:rsid w:val="005E0E8D"/>
    <w:rsid w:val="005E198A"/>
    <w:rsid w:val="005E19D9"/>
    <w:rsid w:val="005E260A"/>
    <w:rsid w:val="005E3725"/>
    <w:rsid w:val="005E3D8A"/>
    <w:rsid w:val="005E4416"/>
    <w:rsid w:val="005E4C5A"/>
    <w:rsid w:val="005E4E22"/>
    <w:rsid w:val="005E515A"/>
    <w:rsid w:val="005E5AE1"/>
    <w:rsid w:val="005E5FAE"/>
    <w:rsid w:val="005E7A32"/>
    <w:rsid w:val="005F0563"/>
    <w:rsid w:val="005F06F0"/>
    <w:rsid w:val="005F0851"/>
    <w:rsid w:val="005F0CB8"/>
    <w:rsid w:val="005F1A36"/>
    <w:rsid w:val="005F2FFB"/>
    <w:rsid w:val="005F3175"/>
    <w:rsid w:val="005F4076"/>
    <w:rsid w:val="005F40B3"/>
    <w:rsid w:val="005F4662"/>
    <w:rsid w:val="005F6AE5"/>
    <w:rsid w:val="006002B4"/>
    <w:rsid w:val="006008BF"/>
    <w:rsid w:val="00601A18"/>
    <w:rsid w:val="00602613"/>
    <w:rsid w:val="00603305"/>
    <w:rsid w:val="006035B9"/>
    <w:rsid w:val="00604177"/>
    <w:rsid w:val="00604611"/>
    <w:rsid w:val="00604788"/>
    <w:rsid w:val="0060521C"/>
    <w:rsid w:val="006060BC"/>
    <w:rsid w:val="006061C7"/>
    <w:rsid w:val="0060682C"/>
    <w:rsid w:val="00607593"/>
    <w:rsid w:val="006079E6"/>
    <w:rsid w:val="00610322"/>
    <w:rsid w:val="00611672"/>
    <w:rsid w:val="006118A2"/>
    <w:rsid w:val="00611AB1"/>
    <w:rsid w:val="00611DD6"/>
    <w:rsid w:val="006120AB"/>
    <w:rsid w:val="006122E7"/>
    <w:rsid w:val="006125DE"/>
    <w:rsid w:val="00612B10"/>
    <w:rsid w:val="00612DF9"/>
    <w:rsid w:val="0061314E"/>
    <w:rsid w:val="006156EA"/>
    <w:rsid w:val="00616ABC"/>
    <w:rsid w:val="00616C12"/>
    <w:rsid w:val="00617734"/>
    <w:rsid w:val="006201F3"/>
    <w:rsid w:val="00620B3E"/>
    <w:rsid w:val="0062287A"/>
    <w:rsid w:val="00623265"/>
    <w:rsid w:val="00623804"/>
    <w:rsid w:val="00623BBF"/>
    <w:rsid w:val="00625BA7"/>
    <w:rsid w:val="00626A6C"/>
    <w:rsid w:val="00626E7D"/>
    <w:rsid w:val="00630044"/>
    <w:rsid w:val="006303A1"/>
    <w:rsid w:val="00631B52"/>
    <w:rsid w:val="00632AC8"/>
    <w:rsid w:val="0063349C"/>
    <w:rsid w:val="00633723"/>
    <w:rsid w:val="00636396"/>
    <w:rsid w:val="00636549"/>
    <w:rsid w:val="0063669D"/>
    <w:rsid w:val="00640348"/>
    <w:rsid w:val="00643C50"/>
    <w:rsid w:val="00643C84"/>
    <w:rsid w:val="00644067"/>
    <w:rsid w:val="00644156"/>
    <w:rsid w:val="00644368"/>
    <w:rsid w:val="006446F0"/>
    <w:rsid w:val="006449CF"/>
    <w:rsid w:val="00644AFF"/>
    <w:rsid w:val="00646219"/>
    <w:rsid w:val="00646565"/>
    <w:rsid w:val="00646E48"/>
    <w:rsid w:val="00647403"/>
    <w:rsid w:val="00647548"/>
    <w:rsid w:val="00647C06"/>
    <w:rsid w:val="00647C66"/>
    <w:rsid w:val="00650E77"/>
    <w:rsid w:val="006537DA"/>
    <w:rsid w:val="006539B0"/>
    <w:rsid w:val="00653E5F"/>
    <w:rsid w:val="006546CE"/>
    <w:rsid w:val="00654776"/>
    <w:rsid w:val="006567BB"/>
    <w:rsid w:val="0065681E"/>
    <w:rsid w:val="00657F33"/>
    <w:rsid w:val="00662C05"/>
    <w:rsid w:val="00663CBB"/>
    <w:rsid w:val="00664EEA"/>
    <w:rsid w:val="00665232"/>
    <w:rsid w:val="00665612"/>
    <w:rsid w:val="0066567A"/>
    <w:rsid w:val="00665E82"/>
    <w:rsid w:val="006660DA"/>
    <w:rsid w:val="00666C4F"/>
    <w:rsid w:val="0066780E"/>
    <w:rsid w:val="00670736"/>
    <w:rsid w:val="006728D8"/>
    <w:rsid w:val="00672EE4"/>
    <w:rsid w:val="006734BC"/>
    <w:rsid w:val="00673ADB"/>
    <w:rsid w:val="0067415A"/>
    <w:rsid w:val="00674BF3"/>
    <w:rsid w:val="00674CE2"/>
    <w:rsid w:val="00675187"/>
    <w:rsid w:val="006753E2"/>
    <w:rsid w:val="00675961"/>
    <w:rsid w:val="00675C69"/>
    <w:rsid w:val="00676336"/>
    <w:rsid w:val="00676E8C"/>
    <w:rsid w:val="00677308"/>
    <w:rsid w:val="00677311"/>
    <w:rsid w:val="006777B4"/>
    <w:rsid w:val="00680EF7"/>
    <w:rsid w:val="006813FC"/>
    <w:rsid w:val="006816F3"/>
    <w:rsid w:val="00681E0D"/>
    <w:rsid w:val="0068236C"/>
    <w:rsid w:val="0068375E"/>
    <w:rsid w:val="00683FD1"/>
    <w:rsid w:val="00684452"/>
    <w:rsid w:val="00684966"/>
    <w:rsid w:val="00685606"/>
    <w:rsid w:val="00685F04"/>
    <w:rsid w:val="00686BC1"/>
    <w:rsid w:val="006874E2"/>
    <w:rsid w:val="00690CED"/>
    <w:rsid w:val="00690D70"/>
    <w:rsid w:val="00691987"/>
    <w:rsid w:val="00691CC0"/>
    <w:rsid w:val="00692504"/>
    <w:rsid w:val="00693185"/>
    <w:rsid w:val="00694EA1"/>
    <w:rsid w:val="00695515"/>
    <w:rsid w:val="0069583E"/>
    <w:rsid w:val="00695B83"/>
    <w:rsid w:val="0069739C"/>
    <w:rsid w:val="00697B51"/>
    <w:rsid w:val="00697D16"/>
    <w:rsid w:val="006A0191"/>
    <w:rsid w:val="006A0F15"/>
    <w:rsid w:val="006A0F79"/>
    <w:rsid w:val="006A121E"/>
    <w:rsid w:val="006A16BF"/>
    <w:rsid w:val="006A1BB0"/>
    <w:rsid w:val="006A2503"/>
    <w:rsid w:val="006A266A"/>
    <w:rsid w:val="006A2CDF"/>
    <w:rsid w:val="006A37A4"/>
    <w:rsid w:val="006A3A92"/>
    <w:rsid w:val="006A3D3F"/>
    <w:rsid w:val="006A3ECD"/>
    <w:rsid w:val="006A4280"/>
    <w:rsid w:val="006A4689"/>
    <w:rsid w:val="006A48BD"/>
    <w:rsid w:val="006A4A4B"/>
    <w:rsid w:val="006A4E88"/>
    <w:rsid w:val="006A6B3F"/>
    <w:rsid w:val="006A70C4"/>
    <w:rsid w:val="006B0127"/>
    <w:rsid w:val="006B08CC"/>
    <w:rsid w:val="006B15D8"/>
    <w:rsid w:val="006B2167"/>
    <w:rsid w:val="006B2E73"/>
    <w:rsid w:val="006B3F11"/>
    <w:rsid w:val="006B43A2"/>
    <w:rsid w:val="006B43ED"/>
    <w:rsid w:val="006B69BF"/>
    <w:rsid w:val="006B6B64"/>
    <w:rsid w:val="006B6CF9"/>
    <w:rsid w:val="006B73D8"/>
    <w:rsid w:val="006B79A4"/>
    <w:rsid w:val="006B7CE4"/>
    <w:rsid w:val="006C0D1D"/>
    <w:rsid w:val="006C115A"/>
    <w:rsid w:val="006C1B86"/>
    <w:rsid w:val="006C2E50"/>
    <w:rsid w:val="006C41C5"/>
    <w:rsid w:val="006C52EA"/>
    <w:rsid w:val="006C5690"/>
    <w:rsid w:val="006C5B40"/>
    <w:rsid w:val="006C6143"/>
    <w:rsid w:val="006C6D19"/>
    <w:rsid w:val="006D0991"/>
    <w:rsid w:val="006D156D"/>
    <w:rsid w:val="006D22F6"/>
    <w:rsid w:val="006D2C83"/>
    <w:rsid w:val="006D35E3"/>
    <w:rsid w:val="006D41BE"/>
    <w:rsid w:val="006D4355"/>
    <w:rsid w:val="006D5D40"/>
    <w:rsid w:val="006D5FDD"/>
    <w:rsid w:val="006D71E6"/>
    <w:rsid w:val="006D7F41"/>
    <w:rsid w:val="006E0986"/>
    <w:rsid w:val="006E1044"/>
    <w:rsid w:val="006E2197"/>
    <w:rsid w:val="006E304C"/>
    <w:rsid w:val="006E3D51"/>
    <w:rsid w:val="006E3F42"/>
    <w:rsid w:val="006E4D5D"/>
    <w:rsid w:val="006E4F72"/>
    <w:rsid w:val="006E64F2"/>
    <w:rsid w:val="006E6845"/>
    <w:rsid w:val="006E6D4A"/>
    <w:rsid w:val="006E769B"/>
    <w:rsid w:val="006E7CF8"/>
    <w:rsid w:val="006E7D01"/>
    <w:rsid w:val="006F0937"/>
    <w:rsid w:val="006F0BD4"/>
    <w:rsid w:val="006F1C67"/>
    <w:rsid w:val="006F2532"/>
    <w:rsid w:val="006F2DBA"/>
    <w:rsid w:val="006F2EA2"/>
    <w:rsid w:val="006F2FEC"/>
    <w:rsid w:val="006F30E7"/>
    <w:rsid w:val="006F40F9"/>
    <w:rsid w:val="006F5B94"/>
    <w:rsid w:val="006F7401"/>
    <w:rsid w:val="006F74A0"/>
    <w:rsid w:val="006F7AED"/>
    <w:rsid w:val="006F7F56"/>
    <w:rsid w:val="00700CEA"/>
    <w:rsid w:val="00702174"/>
    <w:rsid w:val="00702986"/>
    <w:rsid w:val="0070332A"/>
    <w:rsid w:val="00703996"/>
    <w:rsid w:val="00703A3F"/>
    <w:rsid w:val="00705F16"/>
    <w:rsid w:val="00707130"/>
    <w:rsid w:val="00707A22"/>
    <w:rsid w:val="00710777"/>
    <w:rsid w:val="00712CE1"/>
    <w:rsid w:val="0071419A"/>
    <w:rsid w:val="007146A0"/>
    <w:rsid w:val="0071637B"/>
    <w:rsid w:val="0071684D"/>
    <w:rsid w:val="0071685B"/>
    <w:rsid w:val="00716911"/>
    <w:rsid w:val="00716A40"/>
    <w:rsid w:val="00716FF7"/>
    <w:rsid w:val="0071773C"/>
    <w:rsid w:val="00717940"/>
    <w:rsid w:val="00720781"/>
    <w:rsid w:val="00720DD9"/>
    <w:rsid w:val="007227E4"/>
    <w:rsid w:val="00723617"/>
    <w:rsid w:val="007236E6"/>
    <w:rsid w:val="00723853"/>
    <w:rsid w:val="0072408F"/>
    <w:rsid w:val="00724238"/>
    <w:rsid w:val="007247B2"/>
    <w:rsid w:val="00724B4F"/>
    <w:rsid w:val="007250D8"/>
    <w:rsid w:val="007252CF"/>
    <w:rsid w:val="0072585E"/>
    <w:rsid w:val="00725963"/>
    <w:rsid w:val="007318C7"/>
    <w:rsid w:val="00731B50"/>
    <w:rsid w:val="00731C61"/>
    <w:rsid w:val="00731D11"/>
    <w:rsid w:val="00731FC4"/>
    <w:rsid w:val="0073635E"/>
    <w:rsid w:val="007364FE"/>
    <w:rsid w:val="007369F8"/>
    <w:rsid w:val="00737604"/>
    <w:rsid w:val="00737B40"/>
    <w:rsid w:val="00740957"/>
    <w:rsid w:val="00741150"/>
    <w:rsid w:val="00741E04"/>
    <w:rsid w:val="00742C89"/>
    <w:rsid w:val="00742E05"/>
    <w:rsid w:val="00742ED6"/>
    <w:rsid w:val="00743CB7"/>
    <w:rsid w:val="0074461A"/>
    <w:rsid w:val="00745277"/>
    <w:rsid w:val="0074675D"/>
    <w:rsid w:val="0074681A"/>
    <w:rsid w:val="00747B76"/>
    <w:rsid w:val="00747E9C"/>
    <w:rsid w:val="00747F31"/>
    <w:rsid w:val="007520EB"/>
    <w:rsid w:val="007536E4"/>
    <w:rsid w:val="0075396C"/>
    <w:rsid w:val="00753C4E"/>
    <w:rsid w:val="007544BA"/>
    <w:rsid w:val="00754655"/>
    <w:rsid w:val="007558A2"/>
    <w:rsid w:val="00755A34"/>
    <w:rsid w:val="00755B50"/>
    <w:rsid w:val="00756B6F"/>
    <w:rsid w:val="00757775"/>
    <w:rsid w:val="00761288"/>
    <w:rsid w:val="00761C9F"/>
    <w:rsid w:val="00761DCE"/>
    <w:rsid w:val="00762AA1"/>
    <w:rsid w:val="00763BFE"/>
    <w:rsid w:val="007640CB"/>
    <w:rsid w:val="007649AE"/>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764D3"/>
    <w:rsid w:val="007824B8"/>
    <w:rsid w:val="00782840"/>
    <w:rsid w:val="00782D41"/>
    <w:rsid w:val="0078469E"/>
    <w:rsid w:val="00785361"/>
    <w:rsid w:val="007863FD"/>
    <w:rsid w:val="007875CC"/>
    <w:rsid w:val="00787E33"/>
    <w:rsid w:val="0079064B"/>
    <w:rsid w:val="0079083A"/>
    <w:rsid w:val="00791546"/>
    <w:rsid w:val="00791C84"/>
    <w:rsid w:val="00792866"/>
    <w:rsid w:val="007933DC"/>
    <w:rsid w:val="00793844"/>
    <w:rsid w:val="007947EE"/>
    <w:rsid w:val="0079713A"/>
    <w:rsid w:val="00797EE1"/>
    <w:rsid w:val="007A0881"/>
    <w:rsid w:val="007A09BA"/>
    <w:rsid w:val="007A1320"/>
    <w:rsid w:val="007A1B83"/>
    <w:rsid w:val="007A1C41"/>
    <w:rsid w:val="007A2647"/>
    <w:rsid w:val="007A2C9E"/>
    <w:rsid w:val="007A478F"/>
    <w:rsid w:val="007A4B96"/>
    <w:rsid w:val="007A4F71"/>
    <w:rsid w:val="007A6461"/>
    <w:rsid w:val="007A761B"/>
    <w:rsid w:val="007A7D2F"/>
    <w:rsid w:val="007B0EC1"/>
    <w:rsid w:val="007B103A"/>
    <w:rsid w:val="007B193D"/>
    <w:rsid w:val="007B28FC"/>
    <w:rsid w:val="007B30E9"/>
    <w:rsid w:val="007B4115"/>
    <w:rsid w:val="007B42FD"/>
    <w:rsid w:val="007B4479"/>
    <w:rsid w:val="007B4D3B"/>
    <w:rsid w:val="007B503B"/>
    <w:rsid w:val="007B7F55"/>
    <w:rsid w:val="007C1630"/>
    <w:rsid w:val="007C36C5"/>
    <w:rsid w:val="007C3F16"/>
    <w:rsid w:val="007C442F"/>
    <w:rsid w:val="007C4AB8"/>
    <w:rsid w:val="007C72CD"/>
    <w:rsid w:val="007C7EFF"/>
    <w:rsid w:val="007C7FA6"/>
    <w:rsid w:val="007D04E9"/>
    <w:rsid w:val="007D175E"/>
    <w:rsid w:val="007D1CD6"/>
    <w:rsid w:val="007D3A34"/>
    <w:rsid w:val="007D3A80"/>
    <w:rsid w:val="007D4278"/>
    <w:rsid w:val="007D43D8"/>
    <w:rsid w:val="007D464B"/>
    <w:rsid w:val="007D4AF8"/>
    <w:rsid w:val="007D51A9"/>
    <w:rsid w:val="007D6A0B"/>
    <w:rsid w:val="007D74AF"/>
    <w:rsid w:val="007D7B84"/>
    <w:rsid w:val="007E0AB8"/>
    <w:rsid w:val="007E0ED2"/>
    <w:rsid w:val="007E24F4"/>
    <w:rsid w:val="007E24FC"/>
    <w:rsid w:val="007E26A4"/>
    <w:rsid w:val="007E2FC1"/>
    <w:rsid w:val="007E3A05"/>
    <w:rsid w:val="007E41A2"/>
    <w:rsid w:val="007E46E3"/>
    <w:rsid w:val="007E5C3A"/>
    <w:rsid w:val="007E686F"/>
    <w:rsid w:val="007E6C75"/>
    <w:rsid w:val="007E7A7F"/>
    <w:rsid w:val="007E7E46"/>
    <w:rsid w:val="007F0597"/>
    <w:rsid w:val="007F0E80"/>
    <w:rsid w:val="007F1159"/>
    <w:rsid w:val="007F1DD9"/>
    <w:rsid w:val="007F2C9F"/>
    <w:rsid w:val="007F3F0D"/>
    <w:rsid w:val="007F4789"/>
    <w:rsid w:val="007F5D4D"/>
    <w:rsid w:val="007F70DF"/>
    <w:rsid w:val="00801622"/>
    <w:rsid w:val="00802195"/>
    <w:rsid w:val="008027B2"/>
    <w:rsid w:val="00802940"/>
    <w:rsid w:val="0080388E"/>
    <w:rsid w:val="00804316"/>
    <w:rsid w:val="0080452D"/>
    <w:rsid w:val="0080456C"/>
    <w:rsid w:val="008059FE"/>
    <w:rsid w:val="008060E2"/>
    <w:rsid w:val="00806CA0"/>
    <w:rsid w:val="00806F82"/>
    <w:rsid w:val="0080777A"/>
    <w:rsid w:val="00807E2B"/>
    <w:rsid w:val="00811133"/>
    <w:rsid w:val="008121E0"/>
    <w:rsid w:val="00812E86"/>
    <w:rsid w:val="0081350C"/>
    <w:rsid w:val="00813A36"/>
    <w:rsid w:val="00815F96"/>
    <w:rsid w:val="0081657E"/>
    <w:rsid w:val="00816946"/>
    <w:rsid w:val="00816DB9"/>
    <w:rsid w:val="00817C2C"/>
    <w:rsid w:val="008203CD"/>
    <w:rsid w:val="0082111B"/>
    <w:rsid w:val="00821C02"/>
    <w:rsid w:val="008235C7"/>
    <w:rsid w:val="0082373B"/>
    <w:rsid w:val="00823D2D"/>
    <w:rsid w:val="008258F1"/>
    <w:rsid w:val="00825A24"/>
    <w:rsid w:val="00825F2E"/>
    <w:rsid w:val="00827AAD"/>
    <w:rsid w:val="00827CEF"/>
    <w:rsid w:val="00827D33"/>
    <w:rsid w:val="00830ECC"/>
    <w:rsid w:val="0083123E"/>
    <w:rsid w:val="00832341"/>
    <w:rsid w:val="008334DC"/>
    <w:rsid w:val="00833915"/>
    <w:rsid w:val="00833A45"/>
    <w:rsid w:val="00833F08"/>
    <w:rsid w:val="008346F5"/>
    <w:rsid w:val="00835F1B"/>
    <w:rsid w:val="00836124"/>
    <w:rsid w:val="00836524"/>
    <w:rsid w:val="0083669B"/>
    <w:rsid w:val="008368EE"/>
    <w:rsid w:val="00836C60"/>
    <w:rsid w:val="00836F7C"/>
    <w:rsid w:val="00837AE3"/>
    <w:rsid w:val="008414D5"/>
    <w:rsid w:val="008416C3"/>
    <w:rsid w:val="0084176F"/>
    <w:rsid w:val="00842C46"/>
    <w:rsid w:val="00843806"/>
    <w:rsid w:val="00844352"/>
    <w:rsid w:val="008446E6"/>
    <w:rsid w:val="00851793"/>
    <w:rsid w:val="00851B00"/>
    <w:rsid w:val="008522D3"/>
    <w:rsid w:val="0085259B"/>
    <w:rsid w:val="0085270C"/>
    <w:rsid w:val="00853096"/>
    <w:rsid w:val="0085417A"/>
    <w:rsid w:val="00854AB8"/>
    <w:rsid w:val="0085600A"/>
    <w:rsid w:val="0085665E"/>
    <w:rsid w:val="00856BC0"/>
    <w:rsid w:val="008570C2"/>
    <w:rsid w:val="0085717B"/>
    <w:rsid w:val="008576FB"/>
    <w:rsid w:val="00857E8A"/>
    <w:rsid w:val="00861E51"/>
    <w:rsid w:val="008620A3"/>
    <w:rsid w:val="00862EEA"/>
    <w:rsid w:val="008637A2"/>
    <w:rsid w:val="008637C6"/>
    <w:rsid w:val="0086394E"/>
    <w:rsid w:val="0086541A"/>
    <w:rsid w:val="00865E4A"/>
    <w:rsid w:val="00865FB3"/>
    <w:rsid w:val="00866611"/>
    <w:rsid w:val="00866755"/>
    <w:rsid w:val="008678E6"/>
    <w:rsid w:val="00867ACE"/>
    <w:rsid w:val="00867B5A"/>
    <w:rsid w:val="00870AE8"/>
    <w:rsid w:val="00870D62"/>
    <w:rsid w:val="008712BB"/>
    <w:rsid w:val="00872ED1"/>
    <w:rsid w:val="008752B0"/>
    <w:rsid w:val="008758A5"/>
    <w:rsid w:val="00875F81"/>
    <w:rsid w:val="0087657B"/>
    <w:rsid w:val="00877101"/>
    <w:rsid w:val="00880545"/>
    <w:rsid w:val="00881333"/>
    <w:rsid w:val="00881E20"/>
    <w:rsid w:val="00883379"/>
    <w:rsid w:val="00883CC1"/>
    <w:rsid w:val="0088453E"/>
    <w:rsid w:val="00884BA5"/>
    <w:rsid w:val="00885D7D"/>
    <w:rsid w:val="008861A0"/>
    <w:rsid w:val="008864E5"/>
    <w:rsid w:val="00886FCF"/>
    <w:rsid w:val="008918DD"/>
    <w:rsid w:val="00893C62"/>
    <w:rsid w:val="00894076"/>
    <w:rsid w:val="0089545E"/>
    <w:rsid w:val="0089572B"/>
    <w:rsid w:val="00895DC9"/>
    <w:rsid w:val="00897792"/>
    <w:rsid w:val="008A10DA"/>
    <w:rsid w:val="008A2914"/>
    <w:rsid w:val="008A2924"/>
    <w:rsid w:val="008A47E2"/>
    <w:rsid w:val="008A6515"/>
    <w:rsid w:val="008A6593"/>
    <w:rsid w:val="008A721C"/>
    <w:rsid w:val="008B03B2"/>
    <w:rsid w:val="008B0E39"/>
    <w:rsid w:val="008B15AF"/>
    <w:rsid w:val="008B1C1E"/>
    <w:rsid w:val="008B1FC2"/>
    <w:rsid w:val="008B23CA"/>
    <w:rsid w:val="008B2A13"/>
    <w:rsid w:val="008B321B"/>
    <w:rsid w:val="008B3D62"/>
    <w:rsid w:val="008B577D"/>
    <w:rsid w:val="008B66A9"/>
    <w:rsid w:val="008B7143"/>
    <w:rsid w:val="008B7315"/>
    <w:rsid w:val="008C0026"/>
    <w:rsid w:val="008C0ABC"/>
    <w:rsid w:val="008C1829"/>
    <w:rsid w:val="008C266F"/>
    <w:rsid w:val="008C287F"/>
    <w:rsid w:val="008C2AC9"/>
    <w:rsid w:val="008C2FE1"/>
    <w:rsid w:val="008C326E"/>
    <w:rsid w:val="008C3877"/>
    <w:rsid w:val="008C5B79"/>
    <w:rsid w:val="008C5C30"/>
    <w:rsid w:val="008C6230"/>
    <w:rsid w:val="008D0625"/>
    <w:rsid w:val="008D0F89"/>
    <w:rsid w:val="008D1017"/>
    <w:rsid w:val="008D2424"/>
    <w:rsid w:val="008D2C81"/>
    <w:rsid w:val="008D39E4"/>
    <w:rsid w:val="008D40B9"/>
    <w:rsid w:val="008D462F"/>
    <w:rsid w:val="008D6655"/>
    <w:rsid w:val="008D6989"/>
    <w:rsid w:val="008D6DD7"/>
    <w:rsid w:val="008D72F6"/>
    <w:rsid w:val="008E03A9"/>
    <w:rsid w:val="008E074D"/>
    <w:rsid w:val="008E0B1F"/>
    <w:rsid w:val="008E1242"/>
    <w:rsid w:val="008E1DB8"/>
    <w:rsid w:val="008E1E89"/>
    <w:rsid w:val="008E1FE0"/>
    <w:rsid w:val="008E2AD3"/>
    <w:rsid w:val="008E4766"/>
    <w:rsid w:val="008E4BA9"/>
    <w:rsid w:val="008E55C8"/>
    <w:rsid w:val="008E660A"/>
    <w:rsid w:val="008E6CE7"/>
    <w:rsid w:val="008E7552"/>
    <w:rsid w:val="008E7DBC"/>
    <w:rsid w:val="008F088E"/>
    <w:rsid w:val="008F1269"/>
    <w:rsid w:val="008F2D01"/>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26EB"/>
    <w:rsid w:val="00912751"/>
    <w:rsid w:val="00913720"/>
    <w:rsid w:val="0091418B"/>
    <w:rsid w:val="00915293"/>
    <w:rsid w:val="009157AA"/>
    <w:rsid w:val="009173EB"/>
    <w:rsid w:val="0092033C"/>
    <w:rsid w:val="00920B30"/>
    <w:rsid w:val="0092101B"/>
    <w:rsid w:val="00921A55"/>
    <w:rsid w:val="00922B65"/>
    <w:rsid w:val="00925C68"/>
    <w:rsid w:val="00925E4B"/>
    <w:rsid w:val="00925FE3"/>
    <w:rsid w:val="009262BD"/>
    <w:rsid w:val="00930DB2"/>
    <w:rsid w:val="00931027"/>
    <w:rsid w:val="009312E9"/>
    <w:rsid w:val="009318C1"/>
    <w:rsid w:val="00931D38"/>
    <w:rsid w:val="0093359E"/>
    <w:rsid w:val="009336A9"/>
    <w:rsid w:val="00933A2B"/>
    <w:rsid w:val="00933EC4"/>
    <w:rsid w:val="00934AC2"/>
    <w:rsid w:val="00934F25"/>
    <w:rsid w:val="0093581E"/>
    <w:rsid w:val="00936289"/>
    <w:rsid w:val="009369A2"/>
    <w:rsid w:val="00936A7F"/>
    <w:rsid w:val="009372F2"/>
    <w:rsid w:val="00937376"/>
    <w:rsid w:val="00937753"/>
    <w:rsid w:val="00937A3A"/>
    <w:rsid w:val="00937B1B"/>
    <w:rsid w:val="00937D81"/>
    <w:rsid w:val="00940623"/>
    <w:rsid w:val="00945742"/>
    <w:rsid w:val="009457C2"/>
    <w:rsid w:val="00945D31"/>
    <w:rsid w:val="00945DB9"/>
    <w:rsid w:val="0094630A"/>
    <w:rsid w:val="00946ED5"/>
    <w:rsid w:val="0094774D"/>
    <w:rsid w:val="00947F5B"/>
    <w:rsid w:val="009508C3"/>
    <w:rsid w:val="00950D6D"/>
    <w:rsid w:val="0095123E"/>
    <w:rsid w:val="00951D36"/>
    <w:rsid w:val="0095203B"/>
    <w:rsid w:val="0095337B"/>
    <w:rsid w:val="00954516"/>
    <w:rsid w:val="009546C0"/>
    <w:rsid w:val="009552F8"/>
    <w:rsid w:val="00956877"/>
    <w:rsid w:val="00956E19"/>
    <w:rsid w:val="00957243"/>
    <w:rsid w:val="00957C9A"/>
    <w:rsid w:val="00957D25"/>
    <w:rsid w:val="00957FB1"/>
    <w:rsid w:val="0096047C"/>
    <w:rsid w:val="009623AE"/>
    <w:rsid w:val="00962B70"/>
    <w:rsid w:val="0096321B"/>
    <w:rsid w:val="00963B34"/>
    <w:rsid w:val="00965461"/>
    <w:rsid w:val="009659B1"/>
    <w:rsid w:val="00965C5B"/>
    <w:rsid w:val="009673AF"/>
    <w:rsid w:val="009675FA"/>
    <w:rsid w:val="009701D0"/>
    <w:rsid w:val="009701F2"/>
    <w:rsid w:val="009707CC"/>
    <w:rsid w:val="00970943"/>
    <w:rsid w:val="00970E88"/>
    <w:rsid w:val="0097181C"/>
    <w:rsid w:val="00972E8F"/>
    <w:rsid w:val="009736ED"/>
    <w:rsid w:val="00974832"/>
    <w:rsid w:val="00974E79"/>
    <w:rsid w:val="009751BA"/>
    <w:rsid w:val="009761D8"/>
    <w:rsid w:val="009761F7"/>
    <w:rsid w:val="009765DD"/>
    <w:rsid w:val="009768F3"/>
    <w:rsid w:val="00976C24"/>
    <w:rsid w:val="009771C4"/>
    <w:rsid w:val="009818D6"/>
    <w:rsid w:val="0098252B"/>
    <w:rsid w:val="00982D21"/>
    <w:rsid w:val="00983948"/>
    <w:rsid w:val="0098411C"/>
    <w:rsid w:val="009853BF"/>
    <w:rsid w:val="009857D8"/>
    <w:rsid w:val="00986D87"/>
    <w:rsid w:val="009874B5"/>
    <w:rsid w:val="009877E6"/>
    <w:rsid w:val="00987E07"/>
    <w:rsid w:val="00987EF3"/>
    <w:rsid w:val="0099082C"/>
    <w:rsid w:val="009935BC"/>
    <w:rsid w:val="009941FA"/>
    <w:rsid w:val="009946C2"/>
    <w:rsid w:val="009948FF"/>
    <w:rsid w:val="00995C4E"/>
    <w:rsid w:val="00995F7A"/>
    <w:rsid w:val="009961D7"/>
    <w:rsid w:val="009973AE"/>
    <w:rsid w:val="00997848"/>
    <w:rsid w:val="00997F61"/>
    <w:rsid w:val="009A0761"/>
    <w:rsid w:val="009A2FDD"/>
    <w:rsid w:val="009A3C87"/>
    <w:rsid w:val="009A443F"/>
    <w:rsid w:val="009A53FB"/>
    <w:rsid w:val="009A57D7"/>
    <w:rsid w:val="009A5B22"/>
    <w:rsid w:val="009A5B53"/>
    <w:rsid w:val="009A6481"/>
    <w:rsid w:val="009A6954"/>
    <w:rsid w:val="009B0828"/>
    <w:rsid w:val="009B0A52"/>
    <w:rsid w:val="009B114A"/>
    <w:rsid w:val="009B1468"/>
    <w:rsid w:val="009B1B60"/>
    <w:rsid w:val="009B20E1"/>
    <w:rsid w:val="009B2404"/>
    <w:rsid w:val="009B29F4"/>
    <w:rsid w:val="009B355C"/>
    <w:rsid w:val="009B3EA3"/>
    <w:rsid w:val="009B5445"/>
    <w:rsid w:val="009B5C12"/>
    <w:rsid w:val="009B624A"/>
    <w:rsid w:val="009B6AB0"/>
    <w:rsid w:val="009B6B9A"/>
    <w:rsid w:val="009B6E4F"/>
    <w:rsid w:val="009B74C0"/>
    <w:rsid w:val="009B76ED"/>
    <w:rsid w:val="009B7C97"/>
    <w:rsid w:val="009C00AE"/>
    <w:rsid w:val="009C06F9"/>
    <w:rsid w:val="009C154D"/>
    <w:rsid w:val="009C1762"/>
    <w:rsid w:val="009C2367"/>
    <w:rsid w:val="009C272E"/>
    <w:rsid w:val="009C350E"/>
    <w:rsid w:val="009C3E9C"/>
    <w:rsid w:val="009C514D"/>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5A44"/>
    <w:rsid w:val="009D5D41"/>
    <w:rsid w:val="009D60B3"/>
    <w:rsid w:val="009D73C2"/>
    <w:rsid w:val="009E0C12"/>
    <w:rsid w:val="009E0EDC"/>
    <w:rsid w:val="009E1876"/>
    <w:rsid w:val="009E1FEF"/>
    <w:rsid w:val="009E20DE"/>
    <w:rsid w:val="009E2CD3"/>
    <w:rsid w:val="009E324F"/>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A003BF"/>
    <w:rsid w:val="00A014C8"/>
    <w:rsid w:val="00A0243B"/>
    <w:rsid w:val="00A024CE"/>
    <w:rsid w:val="00A03548"/>
    <w:rsid w:val="00A04E2D"/>
    <w:rsid w:val="00A05516"/>
    <w:rsid w:val="00A05EC1"/>
    <w:rsid w:val="00A06004"/>
    <w:rsid w:val="00A111FB"/>
    <w:rsid w:val="00A12752"/>
    <w:rsid w:val="00A12E9E"/>
    <w:rsid w:val="00A13B10"/>
    <w:rsid w:val="00A13B22"/>
    <w:rsid w:val="00A14727"/>
    <w:rsid w:val="00A15BDB"/>
    <w:rsid w:val="00A161F7"/>
    <w:rsid w:val="00A16AF6"/>
    <w:rsid w:val="00A170BC"/>
    <w:rsid w:val="00A17B7E"/>
    <w:rsid w:val="00A17F6B"/>
    <w:rsid w:val="00A2060E"/>
    <w:rsid w:val="00A20C5A"/>
    <w:rsid w:val="00A23B93"/>
    <w:rsid w:val="00A2408F"/>
    <w:rsid w:val="00A24968"/>
    <w:rsid w:val="00A2506B"/>
    <w:rsid w:val="00A25DA5"/>
    <w:rsid w:val="00A261B4"/>
    <w:rsid w:val="00A26E64"/>
    <w:rsid w:val="00A305B3"/>
    <w:rsid w:val="00A30640"/>
    <w:rsid w:val="00A30A35"/>
    <w:rsid w:val="00A311EA"/>
    <w:rsid w:val="00A31A34"/>
    <w:rsid w:val="00A323B3"/>
    <w:rsid w:val="00A32A75"/>
    <w:rsid w:val="00A32B44"/>
    <w:rsid w:val="00A33CA7"/>
    <w:rsid w:val="00A34115"/>
    <w:rsid w:val="00A351AE"/>
    <w:rsid w:val="00A35386"/>
    <w:rsid w:val="00A3551C"/>
    <w:rsid w:val="00A4002A"/>
    <w:rsid w:val="00A40D25"/>
    <w:rsid w:val="00A41884"/>
    <w:rsid w:val="00A420E8"/>
    <w:rsid w:val="00A42963"/>
    <w:rsid w:val="00A43281"/>
    <w:rsid w:val="00A43563"/>
    <w:rsid w:val="00A4477E"/>
    <w:rsid w:val="00A4500B"/>
    <w:rsid w:val="00A4563F"/>
    <w:rsid w:val="00A459FF"/>
    <w:rsid w:val="00A4662D"/>
    <w:rsid w:val="00A47125"/>
    <w:rsid w:val="00A5303E"/>
    <w:rsid w:val="00A531D3"/>
    <w:rsid w:val="00A53872"/>
    <w:rsid w:val="00A53AB8"/>
    <w:rsid w:val="00A542A7"/>
    <w:rsid w:val="00A5441A"/>
    <w:rsid w:val="00A54AEC"/>
    <w:rsid w:val="00A54EAD"/>
    <w:rsid w:val="00A55095"/>
    <w:rsid w:val="00A559AB"/>
    <w:rsid w:val="00A5669E"/>
    <w:rsid w:val="00A56A43"/>
    <w:rsid w:val="00A57C79"/>
    <w:rsid w:val="00A602B6"/>
    <w:rsid w:val="00A60344"/>
    <w:rsid w:val="00A605A5"/>
    <w:rsid w:val="00A61728"/>
    <w:rsid w:val="00A6252C"/>
    <w:rsid w:val="00A63414"/>
    <w:rsid w:val="00A6350E"/>
    <w:rsid w:val="00A637D4"/>
    <w:rsid w:val="00A638E1"/>
    <w:rsid w:val="00A640A8"/>
    <w:rsid w:val="00A64203"/>
    <w:rsid w:val="00A65555"/>
    <w:rsid w:val="00A65DC2"/>
    <w:rsid w:val="00A65F5F"/>
    <w:rsid w:val="00A66596"/>
    <w:rsid w:val="00A67F10"/>
    <w:rsid w:val="00A707C8"/>
    <w:rsid w:val="00A71A83"/>
    <w:rsid w:val="00A71EE6"/>
    <w:rsid w:val="00A7437C"/>
    <w:rsid w:val="00A8053D"/>
    <w:rsid w:val="00A80E0D"/>
    <w:rsid w:val="00A81221"/>
    <w:rsid w:val="00A82443"/>
    <w:rsid w:val="00A82773"/>
    <w:rsid w:val="00A8340F"/>
    <w:rsid w:val="00A83961"/>
    <w:rsid w:val="00A83EDC"/>
    <w:rsid w:val="00A840E6"/>
    <w:rsid w:val="00A85885"/>
    <w:rsid w:val="00A85DA0"/>
    <w:rsid w:val="00A871D2"/>
    <w:rsid w:val="00A87862"/>
    <w:rsid w:val="00A87BFE"/>
    <w:rsid w:val="00A90048"/>
    <w:rsid w:val="00A902E0"/>
    <w:rsid w:val="00A905B6"/>
    <w:rsid w:val="00A920D8"/>
    <w:rsid w:val="00A95C7B"/>
    <w:rsid w:val="00A967B3"/>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3952"/>
    <w:rsid w:val="00AB3C18"/>
    <w:rsid w:val="00AB412E"/>
    <w:rsid w:val="00AB4A8D"/>
    <w:rsid w:val="00AB6119"/>
    <w:rsid w:val="00AB6F9C"/>
    <w:rsid w:val="00AB7386"/>
    <w:rsid w:val="00AB751E"/>
    <w:rsid w:val="00AC01C4"/>
    <w:rsid w:val="00AC158C"/>
    <w:rsid w:val="00AC1CBA"/>
    <w:rsid w:val="00AC2071"/>
    <w:rsid w:val="00AC2F0A"/>
    <w:rsid w:val="00AC34FC"/>
    <w:rsid w:val="00AC3C74"/>
    <w:rsid w:val="00AC4298"/>
    <w:rsid w:val="00AC42E9"/>
    <w:rsid w:val="00AC463D"/>
    <w:rsid w:val="00AC47AB"/>
    <w:rsid w:val="00AC47F0"/>
    <w:rsid w:val="00AC6837"/>
    <w:rsid w:val="00AC7B96"/>
    <w:rsid w:val="00AD003B"/>
    <w:rsid w:val="00AD0118"/>
    <w:rsid w:val="00AD017A"/>
    <w:rsid w:val="00AD19ED"/>
    <w:rsid w:val="00AD2CA6"/>
    <w:rsid w:val="00AD2EAC"/>
    <w:rsid w:val="00AD3433"/>
    <w:rsid w:val="00AD3F5E"/>
    <w:rsid w:val="00AD60D7"/>
    <w:rsid w:val="00AD6B28"/>
    <w:rsid w:val="00AD71BE"/>
    <w:rsid w:val="00AD73C8"/>
    <w:rsid w:val="00AD77CD"/>
    <w:rsid w:val="00AE007C"/>
    <w:rsid w:val="00AE0CD0"/>
    <w:rsid w:val="00AE0CFF"/>
    <w:rsid w:val="00AE10E1"/>
    <w:rsid w:val="00AE1136"/>
    <w:rsid w:val="00AE1FDC"/>
    <w:rsid w:val="00AE2EB4"/>
    <w:rsid w:val="00AE31DB"/>
    <w:rsid w:val="00AE3FA6"/>
    <w:rsid w:val="00AE46A3"/>
    <w:rsid w:val="00AE4867"/>
    <w:rsid w:val="00AE52C3"/>
    <w:rsid w:val="00AE619A"/>
    <w:rsid w:val="00AF0BDD"/>
    <w:rsid w:val="00AF17E1"/>
    <w:rsid w:val="00AF238A"/>
    <w:rsid w:val="00AF341B"/>
    <w:rsid w:val="00AF3639"/>
    <w:rsid w:val="00AF4E3F"/>
    <w:rsid w:val="00AF68E1"/>
    <w:rsid w:val="00AF694E"/>
    <w:rsid w:val="00AF7B97"/>
    <w:rsid w:val="00B0021E"/>
    <w:rsid w:val="00B009EF"/>
    <w:rsid w:val="00B00F3D"/>
    <w:rsid w:val="00B0193A"/>
    <w:rsid w:val="00B01FAC"/>
    <w:rsid w:val="00B02535"/>
    <w:rsid w:val="00B03994"/>
    <w:rsid w:val="00B04260"/>
    <w:rsid w:val="00B058B6"/>
    <w:rsid w:val="00B05A07"/>
    <w:rsid w:val="00B05DCE"/>
    <w:rsid w:val="00B065AB"/>
    <w:rsid w:val="00B06924"/>
    <w:rsid w:val="00B06A07"/>
    <w:rsid w:val="00B06A21"/>
    <w:rsid w:val="00B06C0B"/>
    <w:rsid w:val="00B0716D"/>
    <w:rsid w:val="00B078A2"/>
    <w:rsid w:val="00B07D72"/>
    <w:rsid w:val="00B1007E"/>
    <w:rsid w:val="00B10247"/>
    <w:rsid w:val="00B117EB"/>
    <w:rsid w:val="00B11B28"/>
    <w:rsid w:val="00B11FF6"/>
    <w:rsid w:val="00B12774"/>
    <w:rsid w:val="00B13661"/>
    <w:rsid w:val="00B13804"/>
    <w:rsid w:val="00B13BB8"/>
    <w:rsid w:val="00B1413A"/>
    <w:rsid w:val="00B158D9"/>
    <w:rsid w:val="00B15B2D"/>
    <w:rsid w:val="00B15BDD"/>
    <w:rsid w:val="00B15C36"/>
    <w:rsid w:val="00B15DE7"/>
    <w:rsid w:val="00B16E5C"/>
    <w:rsid w:val="00B17656"/>
    <w:rsid w:val="00B20C5F"/>
    <w:rsid w:val="00B21800"/>
    <w:rsid w:val="00B218E5"/>
    <w:rsid w:val="00B219F0"/>
    <w:rsid w:val="00B229E2"/>
    <w:rsid w:val="00B23663"/>
    <w:rsid w:val="00B238D3"/>
    <w:rsid w:val="00B238DD"/>
    <w:rsid w:val="00B24904"/>
    <w:rsid w:val="00B24B84"/>
    <w:rsid w:val="00B24BB5"/>
    <w:rsid w:val="00B254A3"/>
    <w:rsid w:val="00B26669"/>
    <w:rsid w:val="00B26F93"/>
    <w:rsid w:val="00B275EC"/>
    <w:rsid w:val="00B27B9D"/>
    <w:rsid w:val="00B307CB"/>
    <w:rsid w:val="00B30CEA"/>
    <w:rsid w:val="00B31655"/>
    <w:rsid w:val="00B31D29"/>
    <w:rsid w:val="00B31F23"/>
    <w:rsid w:val="00B328B6"/>
    <w:rsid w:val="00B34006"/>
    <w:rsid w:val="00B345DC"/>
    <w:rsid w:val="00B34BA9"/>
    <w:rsid w:val="00B35C97"/>
    <w:rsid w:val="00B37F78"/>
    <w:rsid w:val="00B40538"/>
    <w:rsid w:val="00B41520"/>
    <w:rsid w:val="00B418BF"/>
    <w:rsid w:val="00B41D77"/>
    <w:rsid w:val="00B43991"/>
    <w:rsid w:val="00B43D8C"/>
    <w:rsid w:val="00B43DB2"/>
    <w:rsid w:val="00B44A4C"/>
    <w:rsid w:val="00B47783"/>
    <w:rsid w:val="00B50B1D"/>
    <w:rsid w:val="00B53172"/>
    <w:rsid w:val="00B53199"/>
    <w:rsid w:val="00B54D7E"/>
    <w:rsid w:val="00B54E09"/>
    <w:rsid w:val="00B55E44"/>
    <w:rsid w:val="00B562DA"/>
    <w:rsid w:val="00B571FD"/>
    <w:rsid w:val="00B605EA"/>
    <w:rsid w:val="00B60D36"/>
    <w:rsid w:val="00B61092"/>
    <w:rsid w:val="00B62EFB"/>
    <w:rsid w:val="00B62FB6"/>
    <w:rsid w:val="00B647B5"/>
    <w:rsid w:val="00B65815"/>
    <w:rsid w:val="00B65E66"/>
    <w:rsid w:val="00B67889"/>
    <w:rsid w:val="00B67D15"/>
    <w:rsid w:val="00B706C8"/>
    <w:rsid w:val="00B70FE8"/>
    <w:rsid w:val="00B723D0"/>
    <w:rsid w:val="00B739C5"/>
    <w:rsid w:val="00B74BA5"/>
    <w:rsid w:val="00B76BCF"/>
    <w:rsid w:val="00B76E58"/>
    <w:rsid w:val="00B80008"/>
    <w:rsid w:val="00B82609"/>
    <w:rsid w:val="00B830A8"/>
    <w:rsid w:val="00B83382"/>
    <w:rsid w:val="00B83A90"/>
    <w:rsid w:val="00B83C21"/>
    <w:rsid w:val="00B85BC7"/>
    <w:rsid w:val="00B87EC8"/>
    <w:rsid w:val="00B903CF"/>
    <w:rsid w:val="00B90557"/>
    <w:rsid w:val="00B90906"/>
    <w:rsid w:val="00B91D47"/>
    <w:rsid w:val="00B91E17"/>
    <w:rsid w:val="00B932CD"/>
    <w:rsid w:val="00B9332C"/>
    <w:rsid w:val="00B936FD"/>
    <w:rsid w:val="00B937D8"/>
    <w:rsid w:val="00B93C45"/>
    <w:rsid w:val="00B94BF2"/>
    <w:rsid w:val="00B94CBC"/>
    <w:rsid w:val="00B95ABE"/>
    <w:rsid w:val="00B95DE7"/>
    <w:rsid w:val="00B96105"/>
    <w:rsid w:val="00BA0CA6"/>
    <w:rsid w:val="00BA1860"/>
    <w:rsid w:val="00BA1C3C"/>
    <w:rsid w:val="00BA214E"/>
    <w:rsid w:val="00BA2A18"/>
    <w:rsid w:val="00BA343C"/>
    <w:rsid w:val="00BA3BFF"/>
    <w:rsid w:val="00BA3FC4"/>
    <w:rsid w:val="00BA4726"/>
    <w:rsid w:val="00BA51AB"/>
    <w:rsid w:val="00BA5934"/>
    <w:rsid w:val="00BA66CA"/>
    <w:rsid w:val="00BA6C73"/>
    <w:rsid w:val="00BA7033"/>
    <w:rsid w:val="00BA7585"/>
    <w:rsid w:val="00BA79CC"/>
    <w:rsid w:val="00BB0883"/>
    <w:rsid w:val="00BB1421"/>
    <w:rsid w:val="00BB1537"/>
    <w:rsid w:val="00BB20B6"/>
    <w:rsid w:val="00BB4A62"/>
    <w:rsid w:val="00BB4AA3"/>
    <w:rsid w:val="00BB4B3D"/>
    <w:rsid w:val="00BB4C3B"/>
    <w:rsid w:val="00BB58AA"/>
    <w:rsid w:val="00BB5EC1"/>
    <w:rsid w:val="00BB64C9"/>
    <w:rsid w:val="00BB68A7"/>
    <w:rsid w:val="00BB70B1"/>
    <w:rsid w:val="00BB71A7"/>
    <w:rsid w:val="00BB750D"/>
    <w:rsid w:val="00BB7BD4"/>
    <w:rsid w:val="00BC1257"/>
    <w:rsid w:val="00BC1D08"/>
    <w:rsid w:val="00BC1F3E"/>
    <w:rsid w:val="00BC27AA"/>
    <w:rsid w:val="00BC418A"/>
    <w:rsid w:val="00BC442B"/>
    <w:rsid w:val="00BC44C4"/>
    <w:rsid w:val="00BC4ACE"/>
    <w:rsid w:val="00BC4FC4"/>
    <w:rsid w:val="00BC59D3"/>
    <w:rsid w:val="00BC5C8C"/>
    <w:rsid w:val="00BC6B92"/>
    <w:rsid w:val="00BC706D"/>
    <w:rsid w:val="00BD0DB6"/>
    <w:rsid w:val="00BD302A"/>
    <w:rsid w:val="00BD3C1C"/>
    <w:rsid w:val="00BD3C5A"/>
    <w:rsid w:val="00BD3EA9"/>
    <w:rsid w:val="00BD41FD"/>
    <w:rsid w:val="00BD4290"/>
    <w:rsid w:val="00BD554F"/>
    <w:rsid w:val="00BD6562"/>
    <w:rsid w:val="00BD6B81"/>
    <w:rsid w:val="00BD6BBE"/>
    <w:rsid w:val="00BD6C62"/>
    <w:rsid w:val="00BE1412"/>
    <w:rsid w:val="00BE1BAD"/>
    <w:rsid w:val="00BE2405"/>
    <w:rsid w:val="00BE2CA7"/>
    <w:rsid w:val="00BE2D3F"/>
    <w:rsid w:val="00BE5EE1"/>
    <w:rsid w:val="00BE61F2"/>
    <w:rsid w:val="00BF0850"/>
    <w:rsid w:val="00BF0B1C"/>
    <w:rsid w:val="00BF1181"/>
    <w:rsid w:val="00BF311F"/>
    <w:rsid w:val="00BF4340"/>
    <w:rsid w:val="00BF664E"/>
    <w:rsid w:val="00BF72B7"/>
    <w:rsid w:val="00BF75A2"/>
    <w:rsid w:val="00BF79B1"/>
    <w:rsid w:val="00BF7DB7"/>
    <w:rsid w:val="00C01522"/>
    <w:rsid w:val="00C0394C"/>
    <w:rsid w:val="00C03E0C"/>
    <w:rsid w:val="00C04945"/>
    <w:rsid w:val="00C05683"/>
    <w:rsid w:val="00C063E5"/>
    <w:rsid w:val="00C068B5"/>
    <w:rsid w:val="00C06DE2"/>
    <w:rsid w:val="00C06E85"/>
    <w:rsid w:val="00C07024"/>
    <w:rsid w:val="00C07381"/>
    <w:rsid w:val="00C07C60"/>
    <w:rsid w:val="00C108A0"/>
    <w:rsid w:val="00C10E11"/>
    <w:rsid w:val="00C119A2"/>
    <w:rsid w:val="00C11CEA"/>
    <w:rsid w:val="00C123C8"/>
    <w:rsid w:val="00C1358F"/>
    <w:rsid w:val="00C13AA3"/>
    <w:rsid w:val="00C144F7"/>
    <w:rsid w:val="00C1506D"/>
    <w:rsid w:val="00C160B2"/>
    <w:rsid w:val="00C16C0D"/>
    <w:rsid w:val="00C17152"/>
    <w:rsid w:val="00C17918"/>
    <w:rsid w:val="00C20A28"/>
    <w:rsid w:val="00C20F8B"/>
    <w:rsid w:val="00C212D3"/>
    <w:rsid w:val="00C219DA"/>
    <w:rsid w:val="00C22080"/>
    <w:rsid w:val="00C22CAA"/>
    <w:rsid w:val="00C242B3"/>
    <w:rsid w:val="00C24AEF"/>
    <w:rsid w:val="00C24C0F"/>
    <w:rsid w:val="00C253D5"/>
    <w:rsid w:val="00C25BCC"/>
    <w:rsid w:val="00C26454"/>
    <w:rsid w:val="00C2698D"/>
    <w:rsid w:val="00C276B1"/>
    <w:rsid w:val="00C3064C"/>
    <w:rsid w:val="00C313A9"/>
    <w:rsid w:val="00C3176C"/>
    <w:rsid w:val="00C31EBA"/>
    <w:rsid w:val="00C31EDD"/>
    <w:rsid w:val="00C323DF"/>
    <w:rsid w:val="00C3255F"/>
    <w:rsid w:val="00C34257"/>
    <w:rsid w:val="00C34549"/>
    <w:rsid w:val="00C35021"/>
    <w:rsid w:val="00C366FC"/>
    <w:rsid w:val="00C370D3"/>
    <w:rsid w:val="00C37230"/>
    <w:rsid w:val="00C372FB"/>
    <w:rsid w:val="00C3738A"/>
    <w:rsid w:val="00C375C2"/>
    <w:rsid w:val="00C4007C"/>
    <w:rsid w:val="00C402E2"/>
    <w:rsid w:val="00C41A77"/>
    <w:rsid w:val="00C41AA8"/>
    <w:rsid w:val="00C41D39"/>
    <w:rsid w:val="00C4250B"/>
    <w:rsid w:val="00C42965"/>
    <w:rsid w:val="00C44927"/>
    <w:rsid w:val="00C453B4"/>
    <w:rsid w:val="00C4685F"/>
    <w:rsid w:val="00C47B84"/>
    <w:rsid w:val="00C47E0F"/>
    <w:rsid w:val="00C500F1"/>
    <w:rsid w:val="00C5109F"/>
    <w:rsid w:val="00C5141A"/>
    <w:rsid w:val="00C520D6"/>
    <w:rsid w:val="00C52774"/>
    <w:rsid w:val="00C538B8"/>
    <w:rsid w:val="00C549DB"/>
    <w:rsid w:val="00C54F42"/>
    <w:rsid w:val="00C57864"/>
    <w:rsid w:val="00C608E2"/>
    <w:rsid w:val="00C615CA"/>
    <w:rsid w:val="00C64BCB"/>
    <w:rsid w:val="00C64F44"/>
    <w:rsid w:val="00C65F0F"/>
    <w:rsid w:val="00C662C0"/>
    <w:rsid w:val="00C66573"/>
    <w:rsid w:val="00C6672A"/>
    <w:rsid w:val="00C67B43"/>
    <w:rsid w:val="00C67C3F"/>
    <w:rsid w:val="00C67F29"/>
    <w:rsid w:val="00C70B80"/>
    <w:rsid w:val="00C72903"/>
    <w:rsid w:val="00C734E4"/>
    <w:rsid w:val="00C73A89"/>
    <w:rsid w:val="00C74BAF"/>
    <w:rsid w:val="00C7540D"/>
    <w:rsid w:val="00C75F2A"/>
    <w:rsid w:val="00C76143"/>
    <w:rsid w:val="00C764B8"/>
    <w:rsid w:val="00C7694C"/>
    <w:rsid w:val="00C77DC0"/>
    <w:rsid w:val="00C80FAC"/>
    <w:rsid w:val="00C8257E"/>
    <w:rsid w:val="00C825BE"/>
    <w:rsid w:val="00C82B84"/>
    <w:rsid w:val="00C83CF9"/>
    <w:rsid w:val="00C84BC9"/>
    <w:rsid w:val="00C85A90"/>
    <w:rsid w:val="00C85B5F"/>
    <w:rsid w:val="00C85BD8"/>
    <w:rsid w:val="00C86B3F"/>
    <w:rsid w:val="00C870D6"/>
    <w:rsid w:val="00C87902"/>
    <w:rsid w:val="00C87C0D"/>
    <w:rsid w:val="00C90299"/>
    <w:rsid w:val="00C91073"/>
    <w:rsid w:val="00C910ED"/>
    <w:rsid w:val="00C914D8"/>
    <w:rsid w:val="00C91970"/>
    <w:rsid w:val="00C927E1"/>
    <w:rsid w:val="00C92DE3"/>
    <w:rsid w:val="00C9328D"/>
    <w:rsid w:val="00C93B8F"/>
    <w:rsid w:val="00C94342"/>
    <w:rsid w:val="00C94A9A"/>
    <w:rsid w:val="00C94B67"/>
    <w:rsid w:val="00C9566C"/>
    <w:rsid w:val="00C968B2"/>
    <w:rsid w:val="00C96A0E"/>
    <w:rsid w:val="00C96CC7"/>
    <w:rsid w:val="00CA27AE"/>
    <w:rsid w:val="00CA3018"/>
    <w:rsid w:val="00CA3F6F"/>
    <w:rsid w:val="00CA4B17"/>
    <w:rsid w:val="00CA560B"/>
    <w:rsid w:val="00CA5B5F"/>
    <w:rsid w:val="00CA7549"/>
    <w:rsid w:val="00CA7960"/>
    <w:rsid w:val="00CB1D71"/>
    <w:rsid w:val="00CB2C32"/>
    <w:rsid w:val="00CB2EA8"/>
    <w:rsid w:val="00CB564D"/>
    <w:rsid w:val="00CB57BB"/>
    <w:rsid w:val="00CB5CD0"/>
    <w:rsid w:val="00CB60AF"/>
    <w:rsid w:val="00CB6329"/>
    <w:rsid w:val="00CB6359"/>
    <w:rsid w:val="00CB6539"/>
    <w:rsid w:val="00CB6D76"/>
    <w:rsid w:val="00CB787F"/>
    <w:rsid w:val="00CC0245"/>
    <w:rsid w:val="00CC0408"/>
    <w:rsid w:val="00CC0E04"/>
    <w:rsid w:val="00CC10F7"/>
    <w:rsid w:val="00CC2136"/>
    <w:rsid w:val="00CC3038"/>
    <w:rsid w:val="00CC55FB"/>
    <w:rsid w:val="00CC59C6"/>
    <w:rsid w:val="00CC6D8F"/>
    <w:rsid w:val="00CC770F"/>
    <w:rsid w:val="00CC77C2"/>
    <w:rsid w:val="00CC7A74"/>
    <w:rsid w:val="00CC7DFB"/>
    <w:rsid w:val="00CD0BFA"/>
    <w:rsid w:val="00CD23A1"/>
    <w:rsid w:val="00CD2A74"/>
    <w:rsid w:val="00CD2DA9"/>
    <w:rsid w:val="00CD2F4C"/>
    <w:rsid w:val="00CD3897"/>
    <w:rsid w:val="00CD427F"/>
    <w:rsid w:val="00CD43E7"/>
    <w:rsid w:val="00CD4698"/>
    <w:rsid w:val="00CD48EF"/>
    <w:rsid w:val="00CD5073"/>
    <w:rsid w:val="00CD5558"/>
    <w:rsid w:val="00CD5F26"/>
    <w:rsid w:val="00CD6319"/>
    <w:rsid w:val="00CD6D88"/>
    <w:rsid w:val="00CD71DB"/>
    <w:rsid w:val="00CE04AB"/>
    <w:rsid w:val="00CE1FF4"/>
    <w:rsid w:val="00CE4269"/>
    <w:rsid w:val="00CE53FC"/>
    <w:rsid w:val="00CE5648"/>
    <w:rsid w:val="00CE5C5E"/>
    <w:rsid w:val="00CE76CE"/>
    <w:rsid w:val="00CE7D72"/>
    <w:rsid w:val="00CF03B6"/>
    <w:rsid w:val="00CF1375"/>
    <w:rsid w:val="00CF3A57"/>
    <w:rsid w:val="00CF4179"/>
    <w:rsid w:val="00CF4185"/>
    <w:rsid w:val="00CF4280"/>
    <w:rsid w:val="00CF5635"/>
    <w:rsid w:val="00CF588B"/>
    <w:rsid w:val="00CF5DFF"/>
    <w:rsid w:val="00CF6943"/>
    <w:rsid w:val="00CF71E6"/>
    <w:rsid w:val="00CF7B2B"/>
    <w:rsid w:val="00CF7D03"/>
    <w:rsid w:val="00D00C59"/>
    <w:rsid w:val="00D026E5"/>
    <w:rsid w:val="00D027C9"/>
    <w:rsid w:val="00D02D19"/>
    <w:rsid w:val="00D035BA"/>
    <w:rsid w:val="00D04597"/>
    <w:rsid w:val="00D060E5"/>
    <w:rsid w:val="00D06843"/>
    <w:rsid w:val="00D068B8"/>
    <w:rsid w:val="00D06A5F"/>
    <w:rsid w:val="00D07D2C"/>
    <w:rsid w:val="00D104D4"/>
    <w:rsid w:val="00D11C3E"/>
    <w:rsid w:val="00D11F86"/>
    <w:rsid w:val="00D12423"/>
    <w:rsid w:val="00D127E4"/>
    <w:rsid w:val="00D1369D"/>
    <w:rsid w:val="00D13ECA"/>
    <w:rsid w:val="00D1539D"/>
    <w:rsid w:val="00D157A7"/>
    <w:rsid w:val="00D15D89"/>
    <w:rsid w:val="00D15F87"/>
    <w:rsid w:val="00D16FDE"/>
    <w:rsid w:val="00D174BC"/>
    <w:rsid w:val="00D1774F"/>
    <w:rsid w:val="00D2028D"/>
    <w:rsid w:val="00D21257"/>
    <w:rsid w:val="00D21F02"/>
    <w:rsid w:val="00D21F04"/>
    <w:rsid w:val="00D2206A"/>
    <w:rsid w:val="00D2319B"/>
    <w:rsid w:val="00D23A53"/>
    <w:rsid w:val="00D24902"/>
    <w:rsid w:val="00D24DC9"/>
    <w:rsid w:val="00D274AB"/>
    <w:rsid w:val="00D27ADC"/>
    <w:rsid w:val="00D30350"/>
    <w:rsid w:val="00D311E6"/>
    <w:rsid w:val="00D31668"/>
    <w:rsid w:val="00D3168F"/>
    <w:rsid w:val="00D31A28"/>
    <w:rsid w:val="00D338E8"/>
    <w:rsid w:val="00D36633"/>
    <w:rsid w:val="00D36A67"/>
    <w:rsid w:val="00D40B86"/>
    <w:rsid w:val="00D40C5C"/>
    <w:rsid w:val="00D4126F"/>
    <w:rsid w:val="00D435AD"/>
    <w:rsid w:val="00D442CA"/>
    <w:rsid w:val="00D46D14"/>
    <w:rsid w:val="00D46F7B"/>
    <w:rsid w:val="00D47205"/>
    <w:rsid w:val="00D4743B"/>
    <w:rsid w:val="00D47FE0"/>
    <w:rsid w:val="00D5037D"/>
    <w:rsid w:val="00D503C2"/>
    <w:rsid w:val="00D509C7"/>
    <w:rsid w:val="00D5105E"/>
    <w:rsid w:val="00D518B5"/>
    <w:rsid w:val="00D524FF"/>
    <w:rsid w:val="00D5277C"/>
    <w:rsid w:val="00D537FB"/>
    <w:rsid w:val="00D54A29"/>
    <w:rsid w:val="00D5505F"/>
    <w:rsid w:val="00D5595F"/>
    <w:rsid w:val="00D56227"/>
    <w:rsid w:val="00D56397"/>
    <w:rsid w:val="00D571BB"/>
    <w:rsid w:val="00D574E2"/>
    <w:rsid w:val="00D57A25"/>
    <w:rsid w:val="00D61660"/>
    <w:rsid w:val="00D61BD4"/>
    <w:rsid w:val="00D6319D"/>
    <w:rsid w:val="00D63F37"/>
    <w:rsid w:val="00D6400A"/>
    <w:rsid w:val="00D64BAB"/>
    <w:rsid w:val="00D64CC7"/>
    <w:rsid w:val="00D667C9"/>
    <w:rsid w:val="00D66E04"/>
    <w:rsid w:val="00D670E8"/>
    <w:rsid w:val="00D67582"/>
    <w:rsid w:val="00D67911"/>
    <w:rsid w:val="00D67D46"/>
    <w:rsid w:val="00D71484"/>
    <w:rsid w:val="00D71F94"/>
    <w:rsid w:val="00D72A53"/>
    <w:rsid w:val="00D745F2"/>
    <w:rsid w:val="00D74F1F"/>
    <w:rsid w:val="00D754DB"/>
    <w:rsid w:val="00D760A5"/>
    <w:rsid w:val="00D76B60"/>
    <w:rsid w:val="00D76F94"/>
    <w:rsid w:val="00D812D6"/>
    <w:rsid w:val="00D82707"/>
    <w:rsid w:val="00D82855"/>
    <w:rsid w:val="00D82F3E"/>
    <w:rsid w:val="00D8350B"/>
    <w:rsid w:val="00D843A8"/>
    <w:rsid w:val="00D8589C"/>
    <w:rsid w:val="00D8725E"/>
    <w:rsid w:val="00D87745"/>
    <w:rsid w:val="00D9086D"/>
    <w:rsid w:val="00D90BE6"/>
    <w:rsid w:val="00D91A59"/>
    <w:rsid w:val="00D93079"/>
    <w:rsid w:val="00D94996"/>
    <w:rsid w:val="00D94D1C"/>
    <w:rsid w:val="00D94E2D"/>
    <w:rsid w:val="00D9526A"/>
    <w:rsid w:val="00D95286"/>
    <w:rsid w:val="00D96108"/>
    <w:rsid w:val="00D97250"/>
    <w:rsid w:val="00D97F71"/>
    <w:rsid w:val="00DA08C0"/>
    <w:rsid w:val="00DA1B75"/>
    <w:rsid w:val="00DA2768"/>
    <w:rsid w:val="00DA339E"/>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786"/>
    <w:rsid w:val="00DD3887"/>
    <w:rsid w:val="00DD4293"/>
    <w:rsid w:val="00DD731B"/>
    <w:rsid w:val="00DD77D5"/>
    <w:rsid w:val="00DD78E3"/>
    <w:rsid w:val="00DE0E14"/>
    <w:rsid w:val="00DE14C8"/>
    <w:rsid w:val="00DE24A5"/>
    <w:rsid w:val="00DE27BF"/>
    <w:rsid w:val="00DE3FD6"/>
    <w:rsid w:val="00DE468B"/>
    <w:rsid w:val="00DE4B96"/>
    <w:rsid w:val="00DE52E2"/>
    <w:rsid w:val="00DE58E3"/>
    <w:rsid w:val="00DE5E07"/>
    <w:rsid w:val="00DE5E11"/>
    <w:rsid w:val="00DE618C"/>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61B0"/>
    <w:rsid w:val="00DF760C"/>
    <w:rsid w:val="00E0049A"/>
    <w:rsid w:val="00E008AF"/>
    <w:rsid w:val="00E014FA"/>
    <w:rsid w:val="00E019E2"/>
    <w:rsid w:val="00E022F7"/>
    <w:rsid w:val="00E0298C"/>
    <w:rsid w:val="00E02F7D"/>
    <w:rsid w:val="00E060AD"/>
    <w:rsid w:val="00E0736D"/>
    <w:rsid w:val="00E10233"/>
    <w:rsid w:val="00E105BA"/>
    <w:rsid w:val="00E1121F"/>
    <w:rsid w:val="00E11D8F"/>
    <w:rsid w:val="00E1248A"/>
    <w:rsid w:val="00E12D5A"/>
    <w:rsid w:val="00E13787"/>
    <w:rsid w:val="00E13FE9"/>
    <w:rsid w:val="00E16346"/>
    <w:rsid w:val="00E16565"/>
    <w:rsid w:val="00E16A75"/>
    <w:rsid w:val="00E1707A"/>
    <w:rsid w:val="00E17803"/>
    <w:rsid w:val="00E17A9F"/>
    <w:rsid w:val="00E22B31"/>
    <w:rsid w:val="00E235EF"/>
    <w:rsid w:val="00E23D51"/>
    <w:rsid w:val="00E243F1"/>
    <w:rsid w:val="00E245FF"/>
    <w:rsid w:val="00E24CD9"/>
    <w:rsid w:val="00E265CB"/>
    <w:rsid w:val="00E26EA9"/>
    <w:rsid w:val="00E271E8"/>
    <w:rsid w:val="00E30D57"/>
    <w:rsid w:val="00E3156C"/>
    <w:rsid w:val="00E321CC"/>
    <w:rsid w:val="00E3224D"/>
    <w:rsid w:val="00E329B5"/>
    <w:rsid w:val="00E32EA3"/>
    <w:rsid w:val="00E3326C"/>
    <w:rsid w:val="00E33578"/>
    <w:rsid w:val="00E34893"/>
    <w:rsid w:val="00E35DD6"/>
    <w:rsid w:val="00E3643B"/>
    <w:rsid w:val="00E377E4"/>
    <w:rsid w:val="00E37E28"/>
    <w:rsid w:val="00E415D4"/>
    <w:rsid w:val="00E41903"/>
    <w:rsid w:val="00E42517"/>
    <w:rsid w:val="00E42747"/>
    <w:rsid w:val="00E427BD"/>
    <w:rsid w:val="00E42AFF"/>
    <w:rsid w:val="00E42B46"/>
    <w:rsid w:val="00E43273"/>
    <w:rsid w:val="00E4353B"/>
    <w:rsid w:val="00E44522"/>
    <w:rsid w:val="00E446F6"/>
    <w:rsid w:val="00E44C4B"/>
    <w:rsid w:val="00E451B0"/>
    <w:rsid w:val="00E45FE3"/>
    <w:rsid w:val="00E46115"/>
    <w:rsid w:val="00E46D29"/>
    <w:rsid w:val="00E47221"/>
    <w:rsid w:val="00E47E5D"/>
    <w:rsid w:val="00E50F53"/>
    <w:rsid w:val="00E51702"/>
    <w:rsid w:val="00E522E4"/>
    <w:rsid w:val="00E527EA"/>
    <w:rsid w:val="00E529C7"/>
    <w:rsid w:val="00E52CA6"/>
    <w:rsid w:val="00E535C6"/>
    <w:rsid w:val="00E53694"/>
    <w:rsid w:val="00E536B2"/>
    <w:rsid w:val="00E53FC4"/>
    <w:rsid w:val="00E54A0E"/>
    <w:rsid w:val="00E55A6A"/>
    <w:rsid w:val="00E563E0"/>
    <w:rsid w:val="00E56CF1"/>
    <w:rsid w:val="00E576BB"/>
    <w:rsid w:val="00E5783E"/>
    <w:rsid w:val="00E57E5D"/>
    <w:rsid w:val="00E602A0"/>
    <w:rsid w:val="00E617AF"/>
    <w:rsid w:val="00E61C81"/>
    <w:rsid w:val="00E62B24"/>
    <w:rsid w:val="00E63149"/>
    <w:rsid w:val="00E63B6A"/>
    <w:rsid w:val="00E63E95"/>
    <w:rsid w:val="00E663A3"/>
    <w:rsid w:val="00E668EB"/>
    <w:rsid w:val="00E67399"/>
    <w:rsid w:val="00E706C3"/>
    <w:rsid w:val="00E71A3A"/>
    <w:rsid w:val="00E727AE"/>
    <w:rsid w:val="00E72AC0"/>
    <w:rsid w:val="00E7341C"/>
    <w:rsid w:val="00E73A1D"/>
    <w:rsid w:val="00E74795"/>
    <w:rsid w:val="00E75734"/>
    <w:rsid w:val="00E75C56"/>
    <w:rsid w:val="00E76167"/>
    <w:rsid w:val="00E76AB0"/>
    <w:rsid w:val="00E7720D"/>
    <w:rsid w:val="00E7744B"/>
    <w:rsid w:val="00E77B25"/>
    <w:rsid w:val="00E80550"/>
    <w:rsid w:val="00E818F2"/>
    <w:rsid w:val="00E823D1"/>
    <w:rsid w:val="00E827D3"/>
    <w:rsid w:val="00E83679"/>
    <w:rsid w:val="00E8377F"/>
    <w:rsid w:val="00E843E6"/>
    <w:rsid w:val="00E85043"/>
    <w:rsid w:val="00E85122"/>
    <w:rsid w:val="00E85911"/>
    <w:rsid w:val="00E8647A"/>
    <w:rsid w:val="00E86B1C"/>
    <w:rsid w:val="00E871B9"/>
    <w:rsid w:val="00E906FA"/>
    <w:rsid w:val="00E90717"/>
    <w:rsid w:val="00E937BE"/>
    <w:rsid w:val="00E955C3"/>
    <w:rsid w:val="00E965C4"/>
    <w:rsid w:val="00E966BC"/>
    <w:rsid w:val="00E96928"/>
    <w:rsid w:val="00E97381"/>
    <w:rsid w:val="00E97FE3"/>
    <w:rsid w:val="00EA0483"/>
    <w:rsid w:val="00EA05B8"/>
    <w:rsid w:val="00EA0FE2"/>
    <w:rsid w:val="00EA4059"/>
    <w:rsid w:val="00EA568D"/>
    <w:rsid w:val="00EB14D5"/>
    <w:rsid w:val="00EB15C5"/>
    <w:rsid w:val="00EB1FBB"/>
    <w:rsid w:val="00EB20A3"/>
    <w:rsid w:val="00EB2897"/>
    <w:rsid w:val="00EB2C7A"/>
    <w:rsid w:val="00EB3024"/>
    <w:rsid w:val="00EB3255"/>
    <w:rsid w:val="00EB39DF"/>
    <w:rsid w:val="00EB402A"/>
    <w:rsid w:val="00EB48EF"/>
    <w:rsid w:val="00EB5C06"/>
    <w:rsid w:val="00EB60FC"/>
    <w:rsid w:val="00EB6619"/>
    <w:rsid w:val="00EB69A7"/>
    <w:rsid w:val="00EB7440"/>
    <w:rsid w:val="00EB7808"/>
    <w:rsid w:val="00EB7890"/>
    <w:rsid w:val="00EC046B"/>
    <w:rsid w:val="00EC0751"/>
    <w:rsid w:val="00EC15E7"/>
    <w:rsid w:val="00EC1997"/>
    <w:rsid w:val="00EC4079"/>
    <w:rsid w:val="00EC52E7"/>
    <w:rsid w:val="00EC59E2"/>
    <w:rsid w:val="00EC69DE"/>
    <w:rsid w:val="00EC6F3F"/>
    <w:rsid w:val="00EC7378"/>
    <w:rsid w:val="00ED09BF"/>
    <w:rsid w:val="00ED15BB"/>
    <w:rsid w:val="00ED1975"/>
    <w:rsid w:val="00ED1AE4"/>
    <w:rsid w:val="00ED2485"/>
    <w:rsid w:val="00ED3D3E"/>
    <w:rsid w:val="00ED4468"/>
    <w:rsid w:val="00ED4EBE"/>
    <w:rsid w:val="00ED6B2C"/>
    <w:rsid w:val="00ED6C0E"/>
    <w:rsid w:val="00ED6E96"/>
    <w:rsid w:val="00ED7AD0"/>
    <w:rsid w:val="00EE03A0"/>
    <w:rsid w:val="00EE135C"/>
    <w:rsid w:val="00EE1EE9"/>
    <w:rsid w:val="00EE23E9"/>
    <w:rsid w:val="00EE3934"/>
    <w:rsid w:val="00EE3B65"/>
    <w:rsid w:val="00EE3CF1"/>
    <w:rsid w:val="00EE4E23"/>
    <w:rsid w:val="00EE5C76"/>
    <w:rsid w:val="00EF07E8"/>
    <w:rsid w:val="00EF09A9"/>
    <w:rsid w:val="00EF211C"/>
    <w:rsid w:val="00EF2BD0"/>
    <w:rsid w:val="00EF479A"/>
    <w:rsid w:val="00EF5748"/>
    <w:rsid w:val="00EF6E26"/>
    <w:rsid w:val="00EF7C00"/>
    <w:rsid w:val="00F007CB"/>
    <w:rsid w:val="00F01C2D"/>
    <w:rsid w:val="00F0247F"/>
    <w:rsid w:val="00F03258"/>
    <w:rsid w:val="00F038AE"/>
    <w:rsid w:val="00F04CF5"/>
    <w:rsid w:val="00F06223"/>
    <w:rsid w:val="00F06F27"/>
    <w:rsid w:val="00F06FE4"/>
    <w:rsid w:val="00F0785E"/>
    <w:rsid w:val="00F10299"/>
    <w:rsid w:val="00F11277"/>
    <w:rsid w:val="00F11696"/>
    <w:rsid w:val="00F11B56"/>
    <w:rsid w:val="00F1262D"/>
    <w:rsid w:val="00F131A5"/>
    <w:rsid w:val="00F13DE0"/>
    <w:rsid w:val="00F1433A"/>
    <w:rsid w:val="00F150F3"/>
    <w:rsid w:val="00F16886"/>
    <w:rsid w:val="00F17632"/>
    <w:rsid w:val="00F21C60"/>
    <w:rsid w:val="00F237AD"/>
    <w:rsid w:val="00F23B39"/>
    <w:rsid w:val="00F259D5"/>
    <w:rsid w:val="00F25CAB"/>
    <w:rsid w:val="00F26E0E"/>
    <w:rsid w:val="00F27CCD"/>
    <w:rsid w:val="00F30223"/>
    <w:rsid w:val="00F30F86"/>
    <w:rsid w:val="00F34FA5"/>
    <w:rsid w:val="00F36129"/>
    <w:rsid w:val="00F3683A"/>
    <w:rsid w:val="00F376E7"/>
    <w:rsid w:val="00F4064E"/>
    <w:rsid w:val="00F40B5E"/>
    <w:rsid w:val="00F415DC"/>
    <w:rsid w:val="00F41634"/>
    <w:rsid w:val="00F4178F"/>
    <w:rsid w:val="00F41E37"/>
    <w:rsid w:val="00F424B3"/>
    <w:rsid w:val="00F42D61"/>
    <w:rsid w:val="00F437C5"/>
    <w:rsid w:val="00F44C3F"/>
    <w:rsid w:val="00F44FD3"/>
    <w:rsid w:val="00F478E5"/>
    <w:rsid w:val="00F51616"/>
    <w:rsid w:val="00F52299"/>
    <w:rsid w:val="00F53171"/>
    <w:rsid w:val="00F53F94"/>
    <w:rsid w:val="00F57376"/>
    <w:rsid w:val="00F57CCD"/>
    <w:rsid w:val="00F6275F"/>
    <w:rsid w:val="00F63074"/>
    <w:rsid w:val="00F6385E"/>
    <w:rsid w:val="00F63FCA"/>
    <w:rsid w:val="00F64C78"/>
    <w:rsid w:val="00F67419"/>
    <w:rsid w:val="00F701DC"/>
    <w:rsid w:val="00F70957"/>
    <w:rsid w:val="00F71CE5"/>
    <w:rsid w:val="00F73630"/>
    <w:rsid w:val="00F736A0"/>
    <w:rsid w:val="00F74A72"/>
    <w:rsid w:val="00F750B2"/>
    <w:rsid w:val="00F75588"/>
    <w:rsid w:val="00F758D1"/>
    <w:rsid w:val="00F76150"/>
    <w:rsid w:val="00F766A5"/>
    <w:rsid w:val="00F7793A"/>
    <w:rsid w:val="00F77BCE"/>
    <w:rsid w:val="00F800D4"/>
    <w:rsid w:val="00F8513F"/>
    <w:rsid w:val="00F85301"/>
    <w:rsid w:val="00F855ED"/>
    <w:rsid w:val="00F85A7D"/>
    <w:rsid w:val="00F869FA"/>
    <w:rsid w:val="00F8707F"/>
    <w:rsid w:val="00F872A9"/>
    <w:rsid w:val="00F87A5B"/>
    <w:rsid w:val="00F87A83"/>
    <w:rsid w:val="00F910D1"/>
    <w:rsid w:val="00F92A7B"/>
    <w:rsid w:val="00F93945"/>
    <w:rsid w:val="00F93D84"/>
    <w:rsid w:val="00F95EF4"/>
    <w:rsid w:val="00F965AB"/>
    <w:rsid w:val="00FA005A"/>
    <w:rsid w:val="00FA0526"/>
    <w:rsid w:val="00FA0A33"/>
    <w:rsid w:val="00FA11DD"/>
    <w:rsid w:val="00FA15F9"/>
    <w:rsid w:val="00FA16A5"/>
    <w:rsid w:val="00FA242F"/>
    <w:rsid w:val="00FA28B9"/>
    <w:rsid w:val="00FA3470"/>
    <w:rsid w:val="00FA533D"/>
    <w:rsid w:val="00FA67EE"/>
    <w:rsid w:val="00FA7A17"/>
    <w:rsid w:val="00FB1450"/>
    <w:rsid w:val="00FB1B00"/>
    <w:rsid w:val="00FB1EB5"/>
    <w:rsid w:val="00FB2CC8"/>
    <w:rsid w:val="00FB387B"/>
    <w:rsid w:val="00FB3F52"/>
    <w:rsid w:val="00FB451C"/>
    <w:rsid w:val="00FB467F"/>
    <w:rsid w:val="00FB587B"/>
    <w:rsid w:val="00FB6A85"/>
    <w:rsid w:val="00FB6E04"/>
    <w:rsid w:val="00FB6E40"/>
    <w:rsid w:val="00FB7645"/>
    <w:rsid w:val="00FC019B"/>
    <w:rsid w:val="00FC1630"/>
    <w:rsid w:val="00FC1C96"/>
    <w:rsid w:val="00FC2429"/>
    <w:rsid w:val="00FC34B4"/>
    <w:rsid w:val="00FC4FFA"/>
    <w:rsid w:val="00FC74C3"/>
    <w:rsid w:val="00FC78B7"/>
    <w:rsid w:val="00FD013A"/>
    <w:rsid w:val="00FD0C12"/>
    <w:rsid w:val="00FD21BB"/>
    <w:rsid w:val="00FD39CC"/>
    <w:rsid w:val="00FD4659"/>
    <w:rsid w:val="00FD4723"/>
    <w:rsid w:val="00FD4AA3"/>
    <w:rsid w:val="00FD55FE"/>
    <w:rsid w:val="00FD5E58"/>
    <w:rsid w:val="00FD632D"/>
    <w:rsid w:val="00FD6A00"/>
    <w:rsid w:val="00FD78ED"/>
    <w:rsid w:val="00FD7CAB"/>
    <w:rsid w:val="00FD7FEB"/>
    <w:rsid w:val="00FE073F"/>
    <w:rsid w:val="00FE0C8F"/>
    <w:rsid w:val="00FE0FD3"/>
    <w:rsid w:val="00FE1612"/>
    <w:rsid w:val="00FE2A3E"/>
    <w:rsid w:val="00FE2DE6"/>
    <w:rsid w:val="00FE49A2"/>
    <w:rsid w:val="00FE53A6"/>
    <w:rsid w:val="00FE5B3F"/>
    <w:rsid w:val="00FE69F3"/>
    <w:rsid w:val="00FE6C1C"/>
    <w:rsid w:val="00FF1475"/>
    <w:rsid w:val="00FF14E4"/>
    <w:rsid w:val="00FF28F8"/>
    <w:rsid w:val="00FF4353"/>
    <w:rsid w:val="00FF4AE5"/>
    <w:rsid w:val="00FF4C1F"/>
    <w:rsid w:val="00FF5B5C"/>
    <w:rsid w:val="00FF638C"/>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D77"/>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0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C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54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4B3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48681679">
      <w:bodyDiv w:val="1"/>
      <w:marLeft w:val="0"/>
      <w:marRight w:val="0"/>
      <w:marTop w:val="0"/>
      <w:marBottom w:val="0"/>
      <w:divBdr>
        <w:top w:val="none" w:sz="0" w:space="0" w:color="auto"/>
        <w:left w:val="none" w:sz="0" w:space="0" w:color="auto"/>
        <w:bottom w:val="none" w:sz="0" w:space="0" w:color="auto"/>
        <w:right w:val="none" w:sz="0" w:space="0" w:color="auto"/>
      </w:divBdr>
      <w:divsChild>
        <w:div w:id="1959875844">
          <w:marLeft w:val="0"/>
          <w:marRight w:val="0"/>
          <w:marTop w:val="0"/>
          <w:marBottom w:val="0"/>
          <w:divBdr>
            <w:top w:val="none" w:sz="0" w:space="0" w:color="auto"/>
            <w:left w:val="none" w:sz="0" w:space="0" w:color="auto"/>
            <w:bottom w:val="none" w:sz="0" w:space="0" w:color="auto"/>
            <w:right w:val="none" w:sz="0" w:space="0" w:color="auto"/>
          </w:divBdr>
          <w:divsChild>
            <w:div w:id="1309819404">
              <w:marLeft w:val="0"/>
              <w:marRight w:val="0"/>
              <w:marTop w:val="0"/>
              <w:marBottom w:val="0"/>
              <w:divBdr>
                <w:top w:val="none" w:sz="0" w:space="0" w:color="auto"/>
                <w:left w:val="none" w:sz="0" w:space="0" w:color="auto"/>
                <w:bottom w:val="none" w:sz="0" w:space="0" w:color="auto"/>
                <w:right w:val="none" w:sz="0" w:space="0" w:color="auto"/>
              </w:divBdr>
            </w:div>
            <w:div w:id="1727218779">
              <w:marLeft w:val="0"/>
              <w:marRight w:val="0"/>
              <w:marTop w:val="0"/>
              <w:marBottom w:val="600"/>
              <w:divBdr>
                <w:top w:val="none" w:sz="0" w:space="0" w:color="auto"/>
                <w:left w:val="none" w:sz="0" w:space="0" w:color="auto"/>
                <w:bottom w:val="none" w:sz="0" w:space="0" w:color="auto"/>
                <w:right w:val="none" w:sz="0" w:space="0" w:color="auto"/>
              </w:divBdr>
            </w:div>
          </w:divsChild>
        </w:div>
        <w:div w:id="929702568">
          <w:marLeft w:val="0"/>
          <w:marRight w:val="0"/>
          <w:marTop w:val="0"/>
          <w:marBottom w:val="0"/>
          <w:divBdr>
            <w:top w:val="none" w:sz="0" w:space="0" w:color="auto"/>
            <w:left w:val="none" w:sz="0" w:space="0" w:color="auto"/>
            <w:bottom w:val="none" w:sz="0" w:space="0" w:color="auto"/>
            <w:right w:val="none" w:sz="0" w:space="0" w:color="auto"/>
          </w:divBdr>
          <w:divsChild>
            <w:div w:id="561524237">
              <w:marLeft w:val="0"/>
              <w:marRight w:val="0"/>
              <w:marTop w:val="432"/>
              <w:marBottom w:val="0"/>
              <w:divBdr>
                <w:top w:val="none" w:sz="0" w:space="0" w:color="auto"/>
                <w:left w:val="none" w:sz="0" w:space="0" w:color="auto"/>
                <w:bottom w:val="none" w:sz="0" w:space="0" w:color="auto"/>
                <w:right w:val="none" w:sz="0" w:space="0" w:color="auto"/>
              </w:divBdr>
            </w:div>
            <w:div w:id="1266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98246664">
      <w:bodyDiv w:val="1"/>
      <w:marLeft w:val="0"/>
      <w:marRight w:val="0"/>
      <w:marTop w:val="0"/>
      <w:marBottom w:val="0"/>
      <w:divBdr>
        <w:top w:val="none" w:sz="0" w:space="0" w:color="auto"/>
        <w:left w:val="none" w:sz="0" w:space="0" w:color="auto"/>
        <w:bottom w:val="none" w:sz="0" w:space="0" w:color="auto"/>
        <w:right w:val="none" w:sz="0" w:space="0" w:color="auto"/>
      </w:divBdr>
      <w:divsChild>
        <w:div w:id="1832675630">
          <w:marLeft w:val="0"/>
          <w:marRight w:val="0"/>
          <w:marTop w:val="0"/>
          <w:marBottom w:val="0"/>
          <w:divBdr>
            <w:top w:val="none" w:sz="0" w:space="0" w:color="auto"/>
            <w:left w:val="none" w:sz="0" w:space="0" w:color="auto"/>
            <w:bottom w:val="none" w:sz="0" w:space="0" w:color="auto"/>
            <w:right w:val="none" w:sz="0" w:space="0" w:color="auto"/>
          </w:divBdr>
          <w:divsChild>
            <w:div w:id="1793556459">
              <w:marLeft w:val="0"/>
              <w:marRight w:val="0"/>
              <w:marTop w:val="0"/>
              <w:marBottom w:val="0"/>
              <w:divBdr>
                <w:top w:val="none" w:sz="0" w:space="0" w:color="auto"/>
                <w:left w:val="none" w:sz="0" w:space="0" w:color="auto"/>
                <w:bottom w:val="none" w:sz="0" w:space="0" w:color="auto"/>
                <w:right w:val="none" w:sz="0" w:space="0" w:color="auto"/>
              </w:divBdr>
            </w:div>
            <w:div w:id="2030598385">
              <w:marLeft w:val="0"/>
              <w:marRight w:val="0"/>
              <w:marTop w:val="0"/>
              <w:marBottom w:val="0"/>
              <w:divBdr>
                <w:top w:val="none" w:sz="0" w:space="0" w:color="auto"/>
                <w:left w:val="none" w:sz="0" w:space="0" w:color="auto"/>
                <w:bottom w:val="none" w:sz="0" w:space="0" w:color="auto"/>
                <w:right w:val="none" w:sz="0" w:space="0" w:color="auto"/>
              </w:divBdr>
            </w:div>
            <w:div w:id="1586916012">
              <w:marLeft w:val="0"/>
              <w:marRight w:val="0"/>
              <w:marTop w:val="0"/>
              <w:marBottom w:val="0"/>
              <w:divBdr>
                <w:top w:val="none" w:sz="0" w:space="0" w:color="auto"/>
                <w:left w:val="none" w:sz="0" w:space="0" w:color="auto"/>
                <w:bottom w:val="none" w:sz="0" w:space="0" w:color="auto"/>
                <w:right w:val="none" w:sz="0" w:space="0" w:color="auto"/>
              </w:divBdr>
            </w:div>
            <w:div w:id="1946303302">
              <w:marLeft w:val="0"/>
              <w:marRight w:val="0"/>
              <w:marTop w:val="0"/>
              <w:marBottom w:val="0"/>
              <w:divBdr>
                <w:top w:val="none" w:sz="0" w:space="0" w:color="auto"/>
                <w:left w:val="none" w:sz="0" w:space="0" w:color="auto"/>
                <w:bottom w:val="none" w:sz="0" w:space="0" w:color="auto"/>
                <w:right w:val="none" w:sz="0" w:space="0" w:color="auto"/>
              </w:divBdr>
            </w:div>
            <w:div w:id="176191740">
              <w:marLeft w:val="0"/>
              <w:marRight w:val="0"/>
              <w:marTop w:val="0"/>
              <w:marBottom w:val="0"/>
              <w:divBdr>
                <w:top w:val="none" w:sz="0" w:space="0" w:color="auto"/>
                <w:left w:val="none" w:sz="0" w:space="0" w:color="auto"/>
                <w:bottom w:val="none" w:sz="0" w:space="0" w:color="auto"/>
                <w:right w:val="none" w:sz="0" w:space="0" w:color="auto"/>
              </w:divBdr>
            </w:div>
            <w:div w:id="205259006">
              <w:marLeft w:val="0"/>
              <w:marRight w:val="0"/>
              <w:marTop w:val="0"/>
              <w:marBottom w:val="0"/>
              <w:divBdr>
                <w:top w:val="none" w:sz="0" w:space="0" w:color="auto"/>
                <w:left w:val="none" w:sz="0" w:space="0" w:color="auto"/>
                <w:bottom w:val="none" w:sz="0" w:space="0" w:color="auto"/>
                <w:right w:val="none" w:sz="0" w:space="0" w:color="auto"/>
              </w:divBdr>
            </w:div>
            <w:div w:id="262690662">
              <w:marLeft w:val="0"/>
              <w:marRight w:val="0"/>
              <w:marTop w:val="0"/>
              <w:marBottom w:val="0"/>
              <w:divBdr>
                <w:top w:val="none" w:sz="0" w:space="0" w:color="auto"/>
                <w:left w:val="none" w:sz="0" w:space="0" w:color="auto"/>
                <w:bottom w:val="none" w:sz="0" w:space="0" w:color="auto"/>
                <w:right w:val="none" w:sz="0" w:space="0" w:color="auto"/>
              </w:divBdr>
            </w:div>
            <w:div w:id="106432037">
              <w:marLeft w:val="0"/>
              <w:marRight w:val="0"/>
              <w:marTop w:val="0"/>
              <w:marBottom w:val="0"/>
              <w:divBdr>
                <w:top w:val="none" w:sz="0" w:space="0" w:color="auto"/>
                <w:left w:val="none" w:sz="0" w:space="0" w:color="auto"/>
                <w:bottom w:val="none" w:sz="0" w:space="0" w:color="auto"/>
                <w:right w:val="none" w:sz="0" w:space="0" w:color="auto"/>
              </w:divBdr>
            </w:div>
            <w:div w:id="1057364065">
              <w:marLeft w:val="0"/>
              <w:marRight w:val="0"/>
              <w:marTop w:val="0"/>
              <w:marBottom w:val="0"/>
              <w:divBdr>
                <w:top w:val="none" w:sz="0" w:space="0" w:color="auto"/>
                <w:left w:val="none" w:sz="0" w:space="0" w:color="auto"/>
                <w:bottom w:val="none" w:sz="0" w:space="0" w:color="auto"/>
                <w:right w:val="none" w:sz="0" w:space="0" w:color="auto"/>
              </w:divBdr>
            </w:div>
            <w:div w:id="1282495162">
              <w:marLeft w:val="0"/>
              <w:marRight w:val="0"/>
              <w:marTop w:val="0"/>
              <w:marBottom w:val="0"/>
              <w:divBdr>
                <w:top w:val="none" w:sz="0" w:space="0" w:color="auto"/>
                <w:left w:val="none" w:sz="0" w:space="0" w:color="auto"/>
                <w:bottom w:val="none" w:sz="0" w:space="0" w:color="auto"/>
                <w:right w:val="none" w:sz="0" w:space="0" w:color="auto"/>
              </w:divBdr>
            </w:div>
            <w:div w:id="1130712869">
              <w:marLeft w:val="0"/>
              <w:marRight w:val="0"/>
              <w:marTop w:val="0"/>
              <w:marBottom w:val="0"/>
              <w:divBdr>
                <w:top w:val="none" w:sz="0" w:space="0" w:color="auto"/>
                <w:left w:val="none" w:sz="0" w:space="0" w:color="auto"/>
                <w:bottom w:val="none" w:sz="0" w:space="0" w:color="auto"/>
                <w:right w:val="none" w:sz="0" w:space="0" w:color="auto"/>
              </w:divBdr>
            </w:div>
            <w:div w:id="1306933210">
              <w:marLeft w:val="0"/>
              <w:marRight w:val="0"/>
              <w:marTop w:val="0"/>
              <w:marBottom w:val="0"/>
              <w:divBdr>
                <w:top w:val="none" w:sz="0" w:space="0" w:color="auto"/>
                <w:left w:val="none" w:sz="0" w:space="0" w:color="auto"/>
                <w:bottom w:val="none" w:sz="0" w:space="0" w:color="auto"/>
                <w:right w:val="none" w:sz="0" w:space="0" w:color="auto"/>
              </w:divBdr>
            </w:div>
            <w:div w:id="1015033001">
              <w:marLeft w:val="0"/>
              <w:marRight w:val="0"/>
              <w:marTop w:val="0"/>
              <w:marBottom w:val="0"/>
              <w:divBdr>
                <w:top w:val="none" w:sz="0" w:space="0" w:color="auto"/>
                <w:left w:val="none" w:sz="0" w:space="0" w:color="auto"/>
                <w:bottom w:val="none" w:sz="0" w:space="0" w:color="auto"/>
                <w:right w:val="none" w:sz="0" w:space="0" w:color="auto"/>
              </w:divBdr>
            </w:div>
            <w:div w:id="1726223241">
              <w:marLeft w:val="0"/>
              <w:marRight w:val="0"/>
              <w:marTop w:val="0"/>
              <w:marBottom w:val="0"/>
              <w:divBdr>
                <w:top w:val="none" w:sz="0" w:space="0" w:color="auto"/>
                <w:left w:val="none" w:sz="0" w:space="0" w:color="auto"/>
                <w:bottom w:val="none" w:sz="0" w:space="0" w:color="auto"/>
                <w:right w:val="none" w:sz="0" w:space="0" w:color="auto"/>
              </w:divBdr>
            </w:div>
            <w:div w:id="1929075121">
              <w:marLeft w:val="0"/>
              <w:marRight w:val="0"/>
              <w:marTop w:val="0"/>
              <w:marBottom w:val="0"/>
              <w:divBdr>
                <w:top w:val="none" w:sz="0" w:space="0" w:color="auto"/>
                <w:left w:val="none" w:sz="0" w:space="0" w:color="auto"/>
                <w:bottom w:val="none" w:sz="0" w:space="0" w:color="auto"/>
                <w:right w:val="none" w:sz="0" w:space="0" w:color="auto"/>
              </w:divBdr>
            </w:div>
          </w:divsChild>
        </w:div>
        <w:div w:id="25955532">
          <w:marLeft w:val="0"/>
          <w:marRight w:val="0"/>
          <w:marTop w:val="0"/>
          <w:marBottom w:val="0"/>
          <w:divBdr>
            <w:top w:val="none" w:sz="0" w:space="0" w:color="auto"/>
            <w:left w:val="none" w:sz="0" w:space="0" w:color="auto"/>
            <w:bottom w:val="none" w:sz="0" w:space="0" w:color="auto"/>
            <w:right w:val="none" w:sz="0" w:space="0" w:color="auto"/>
          </w:divBdr>
          <w:divsChild>
            <w:div w:id="678851189">
              <w:marLeft w:val="0"/>
              <w:marRight w:val="0"/>
              <w:marTop w:val="0"/>
              <w:marBottom w:val="0"/>
              <w:divBdr>
                <w:top w:val="none" w:sz="0" w:space="0" w:color="auto"/>
                <w:left w:val="none" w:sz="0" w:space="0" w:color="auto"/>
                <w:bottom w:val="none" w:sz="0" w:space="0" w:color="auto"/>
                <w:right w:val="none" w:sz="0" w:space="0" w:color="auto"/>
              </w:divBdr>
            </w:div>
            <w:div w:id="633678059">
              <w:marLeft w:val="0"/>
              <w:marRight w:val="0"/>
              <w:marTop w:val="0"/>
              <w:marBottom w:val="0"/>
              <w:divBdr>
                <w:top w:val="none" w:sz="0" w:space="0" w:color="auto"/>
                <w:left w:val="none" w:sz="0" w:space="0" w:color="auto"/>
                <w:bottom w:val="none" w:sz="0" w:space="0" w:color="auto"/>
                <w:right w:val="none" w:sz="0" w:space="0" w:color="auto"/>
              </w:divBdr>
            </w:div>
            <w:div w:id="1433209899">
              <w:marLeft w:val="0"/>
              <w:marRight w:val="0"/>
              <w:marTop w:val="0"/>
              <w:marBottom w:val="0"/>
              <w:divBdr>
                <w:top w:val="none" w:sz="0" w:space="0" w:color="auto"/>
                <w:left w:val="none" w:sz="0" w:space="0" w:color="auto"/>
                <w:bottom w:val="none" w:sz="0" w:space="0" w:color="auto"/>
                <w:right w:val="none" w:sz="0" w:space="0" w:color="auto"/>
              </w:divBdr>
            </w:div>
            <w:div w:id="1371883376">
              <w:marLeft w:val="0"/>
              <w:marRight w:val="0"/>
              <w:marTop w:val="0"/>
              <w:marBottom w:val="0"/>
              <w:divBdr>
                <w:top w:val="none" w:sz="0" w:space="0" w:color="auto"/>
                <w:left w:val="none" w:sz="0" w:space="0" w:color="auto"/>
                <w:bottom w:val="none" w:sz="0" w:space="0" w:color="auto"/>
                <w:right w:val="none" w:sz="0" w:space="0" w:color="auto"/>
              </w:divBdr>
            </w:div>
            <w:div w:id="878708088">
              <w:marLeft w:val="0"/>
              <w:marRight w:val="0"/>
              <w:marTop w:val="0"/>
              <w:marBottom w:val="0"/>
              <w:divBdr>
                <w:top w:val="none" w:sz="0" w:space="0" w:color="auto"/>
                <w:left w:val="none" w:sz="0" w:space="0" w:color="auto"/>
                <w:bottom w:val="none" w:sz="0" w:space="0" w:color="auto"/>
                <w:right w:val="none" w:sz="0" w:space="0" w:color="auto"/>
              </w:divBdr>
            </w:div>
            <w:div w:id="1595632064">
              <w:marLeft w:val="0"/>
              <w:marRight w:val="0"/>
              <w:marTop w:val="0"/>
              <w:marBottom w:val="0"/>
              <w:divBdr>
                <w:top w:val="none" w:sz="0" w:space="0" w:color="auto"/>
                <w:left w:val="none" w:sz="0" w:space="0" w:color="auto"/>
                <w:bottom w:val="none" w:sz="0" w:space="0" w:color="auto"/>
                <w:right w:val="none" w:sz="0" w:space="0" w:color="auto"/>
              </w:divBdr>
            </w:div>
          </w:divsChild>
        </w:div>
        <w:div w:id="604581552">
          <w:marLeft w:val="0"/>
          <w:marRight w:val="0"/>
          <w:marTop w:val="0"/>
          <w:marBottom w:val="0"/>
          <w:divBdr>
            <w:top w:val="none" w:sz="0" w:space="0" w:color="auto"/>
            <w:left w:val="none" w:sz="0" w:space="0" w:color="auto"/>
            <w:bottom w:val="none" w:sz="0" w:space="0" w:color="auto"/>
            <w:right w:val="none" w:sz="0" w:space="0" w:color="auto"/>
          </w:divBdr>
          <w:divsChild>
            <w:div w:id="109979158">
              <w:marLeft w:val="0"/>
              <w:marRight w:val="0"/>
              <w:marTop w:val="0"/>
              <w:marBottom w:val="0"/>
              <w:divBdr>
                <w:top w:val="none" w:sz="0" w:space="0" w:color="auto"/>
                <w:left w:val="none" w:sz="0" w:space="0" w:color="auto"/>
                <w:bottom w:val="none" w:sz="0" w:space="0" w:color="auto"/>
                <w:right w:val="none" w:sz="0" w:space="0" w:color="auto"/>
              </w:divBdr>
            </w:div>
          </w:divsChild>
        </w:div>
        <w:div w:id="1019964526">
          <w:marLeft w:val="0"/>
          <w:marRight w:val="0"/>
          <w:marTop w:val="0"/>
          <w:marBottom w:val="0"/>
          <w:divBdr>
            <w:top w:val="none" w:sz="0" w:space="0" w:color="auto"/>
            <w:left w:val="none" w:sz="0" w:space="0" w:color="auto"/>
            <w:bottom w:val="none" w:sz="0" w:space="0" w:color="auto"/>
            <w:right w:val="none" w:sz="0" w:space="0" w:color="auto"/>
          </w:divBdr>
        </w:div>
        <w:div w:id="197667380">
          <w:marLeft w:val="0"/>
          <w:marRight w:val="0"/>
          <w:marTop w:val="0"/>
          <w:marBottom w:val="0"/>
          <w:divBdr>
            <w:top w:val="none" w:sz="0" w:space="0" w:color="auto"/>
            <w:left w:val="none" w:sz="0" w:space="0" w:color="auto"/>
            <w:bottom w:val="none" w:sz="0" w:space="0" w:color="auto"/>
            <w:right w:val="none" w:sz="0" w:space="0" w:color="auto"/>
          </w:divBdr>
          <w:divsChild>
            <w:div w:id="1514489191">
              <w:marLeft w:val="0"/>
              <w:marRight w:val="0"/>
              <w:marTop w:val="0"/>
              <w:marBottom w:val="0"/>
              <w:divBdr>
                <w:top w:val="none" w:sz="0" w:space="0" w:color="auto"/>
                <w:left w:val="none" w:sz="0" w:space="0" w:color="auto"/>
                <w:bottom w:val="none" w:sz="0" w:space="0" w:color="auto"/>
                <w:right w:val="none" w:sz="0" w:space="0" w:color="auto"/>
              </w:divBdr>
            </w:div>
          </w:divsChild>
        </w:div>
        <w:div w:id="122040157">
          <w:marLeft w:val="0"/>
          <w:marRight w:val="0"/>
          <w:marTop w:val="0"/>
          <w:marBottom w:val="0"/>
          <w:divBdr>
            <w:top w:val="none" w:sz="0" w:space="0" w:color="auto"/>
            <w:left w:val="none" w:sz="0" w:space="0" w:color="auto"/>
            <w:bottom w:val="none" w:sz="0" w:space="0" w:color="auto"/>
            <w:right w:val="none" w:sz="0" w:space="0" w:color="auto"/>
          </w:divBdr>
          <w:divsChild>
            <w:div w:id="848981247">
              <w:marLeft w:val="0"/>
              <w:marRight w:val="0"/>
              <w:marTop w:val="0"/>
              <w:marBottom w:val="0"/>
              <w:divBdr>
                <w:top w:val="none" w:sz="0" w:space="0" w:color="auto"/>
                <w:left w:val="none" w:sz="0" w:space="0" w:color="auto"/>
                <w:bottom w:val="none" w:sz="0" w:space="0" w:color="auto"/>
                <w:right w:val="none" w:sz="0" w:space="0" w:color="auto"/>
              </w:divBdr>
            </w:div>
            <w:div w:id="452794929">
              <w:marLeft w:val="0"/>
              <w:marRight w:val="0"/>
              <w:marTop w:val="0"/>
              <w:marBottom w:val="0"/>
              <w:divBdr>
                <w:top w:val="none" w:sz="0" w:space="0" w:color="auto"/>
                <w:left w:val="none" w:sz="0" w:space="0" w:color="auto"/>
                <w:bottom w:val="none" w:sz="0" w:space="0" w:color="auto"/>
                <w:right w:val="none" w:sz="0" w:space="0" w:color="auto"/>
              </w:divBdr>
            </w:div>
            <w:div w:id="1459909947">
              <w:marLeft w:val="0"/>
              <w:marRight w:val="0"/>
              <w:marTop w:val="0"/>
              <w:marBottom w:val="0"/>
              <w:divBdr>
                <w:top w:val="none" w:sz="0" w:space="0" w:color="auto"/>
                <w:left w:val="none" w:sz="0" w:space="0" w:color="auto"/>
                <w:bottom w:val="none" w:sz="0" w:space="0" w:color="auto"/>
                <w:right w:val="none" w:sz="0" w:space="0" w:color="auto"/>
              </w:divBdr>
            </w:div>
          </w:divsChild>
        </w:div>
        <w:div w:id="539785867">
          <w:marLeft w:val="0"/>
          <w:marRight w:val="0"/>
          <w:marTop w:val="0"/>
          <w:marBottom w:val="0"/>
          <w:divBdr>
            <w:top w:val="none" w:sz="0" w:space="0" w:color="auto"/>
            <w:left w:val="none" w:sz="0" w:space="0" w:color="auto"/>
            <w:bottom w:val="none" w:sz="0" w:space="0" w:color="auto"/>
            <w:right w:val="none" w:sz="0" w:space="0" w:color="auto"/>
          </w:divBdr>
        </w:div>
        <w:div w:id="144780984">
          <w:marLeft w:val="0"/>
          <w:marRight w:val="0"/>
          <w:marTop w:val="0"/>
          <w:marBottom w:val="0"/>
          <w:divBdr>
            <w:top w:val="none" w:sz="0" w:space="0" w:color="auto"/>
            <w:left w:val="none" w:sz="0" w:space="0" w:color="auto"/>
            <w:bottom w:val="none" w:sz="0" w:space="0" w:color="auto"/>
            <w:right w:val="none" w:sz="0" w:space="0" w:color="auto"/>
          </w:divBdr>
          <w:divsChild>
            <w:div w:id="1302463793">
              <w:marLeft w:val="0"/>
              <w:marRight w:val="0"/>
              <w:marTop w:val="0"/>
              <w:marBottom w:val="0"/>
              <w:divBdr>
                <w:top w:val="none" w:sz="0" w:space="0" w:color="auto"/>
                <w:left w:val="none" w:sz="0" w:space="0" w:color="auto"/>
                <w:bottom w:val="none" w:sz="0" w:space="0" w:color="auto"/>
                <w:right w:val="none" w:sz="0" w:space="0" w:color="auto"/>
              </w:divBdr>
            </w:div>
            <w:div w:id="1045520571">
              <w:marLeft w:val="0"/>
              <w:marRight w:val="0"/>
              <w:marTop w:val="0"/>
              <w:marBottom w:val="0"/>
              <w:divBdr>
                <w:top w:val="none" w:sz="0" w:space="0" w:color="auto"/>
                <w:left w:val="none" w:sz="0" w:space="0" w:color="auto"/>
                <w:bottom w:val="none" w:sz="0" w:space="0" w:color="auto"/>
                <w:right w:val="none" w:sz="0" w:space="0" w:color="auto"/>
              </w:divBdr>
            </w:div>
            <w:div w:id="146554447">
              <w:marLeft w:val="0"/>
              <w:marRight w:val="0"/>
              <w:marTop w:val="0"/>
              <w:marBottom w:val="0"/>
              <w:divBdr>
                <w:top w:val="none" w:sz="0" w:space="0" w:color="auto"/>
                <w:left w:val="none" w:sz="0" w:space="0" w:color="auto"/>
                <w:bottom w:val="none" w:sz="0" w:space="0" w:color="auto"/>
                <w:right w:val="none" w:sz="0" w:space="0" w:color="auto"/>
              </w:divBdr>
            </w:div>
          </w:divsChild>
        </w:div>
        <w:div w:id="842359430">
          <w:marLeft w:val="0"/>
          <w:marRight w:val="0"/>
          <w:marTop w:val="0"/>
          <w:marBottom w:val="0"/>
          <w:divBdr>
            <w:top w:val="none" w:sz="0" w:space="0" w:color="auto"/>
            <w:left w:val="none" w:sz="0" w:space="0" w:color="auto"/>
            <w:bottom w:val="none" w:sz="0" w:space="0" w:color="auto"/>
            <w:right w:val="none" w:sz="0" w:space="0" w:color="auto"/>
          </w:divBdr>
          <w:divsChild>
            <w:div w:id="1488742464">
              <w:marLeft w:val="0"/>
              <w:marRight w:val="0"/>
              <w:marTop w:val="0"/>
              <w:marBottom w:val="0"/>
              <w:divBdr>
                <w:top w:val="none" w:sz="0" w:space="0" w:color="auto"/>
                <w:left w:val="none" w:sz="0" w:space="0" w:color="auto"/>
                <w:bottom w:val="none" w:sz="0" w:space="0" w:color="auto"/>
                <w:right w:val="none" w:sz="0" w:space="0" w:color="auto"/>
              </w:divBdr>
            </w:div>
            <w:div w:id="107896504">
              <w:marLeft w:val="0"/>
              <w:marRight w:val="0"/>
              <w:marTop w:val="0"/>
              <w:marBottom w:val="0"/>
              <w:divBdr>
                <w:top w:val="none" w:sz="0" w:space="0" w:color="auto"/>
                <w:left w:val="none" w:sz="0" w:space="0" w:color="auto"/>
                <w:bottom w:val="none" w:sz="0" w:space="0" w:color="auto"/>
                <w:right w:val="none" w:sz="0" w:space="0" w:color="auto"/>
              </w:divBdr>
            </w:div>
            <w:div w:id="1642884520">
              <w:marLeft w:val="0"/>
              <w:marRight w:val="0"/>
              <w:marTop w:val="0"/>
              <w:marBottom w:val="0"/>
              <w:divBdr>
                <w:top w:val="none" w:sz="0" w:space="0" w:color="auto"/>
                <w:left w:val="none" w:sz="0" w:space="0" w:color="auto"/>
                <w:bottom w:val="none" w:sz="0" w:space="0" w:color="auto"/>
                <w:right w:val="none" w:sz="0" w:space="0" w:color="auto"/>
              </w:divBdr>
            </w:div>
            <w:div w:id="1580477397">
              <w:marLeft w:val="0"/>
              <w:marRight w:val="0"/>
              <w:marTop w:val="0"/>
              <w:marBottom w:val="0"/>
              <w:divBdr>
                <w:top w:val="none" w:sz="0" w:space="0" w:color="auto"/>
                <w:left w:val="none" w:sz="0" w:space="0" w:color="auto"/>
                <w:bottom w:val="none" w:sz="0" w:space="0" w:color="auto"/>
                <w:right w:val="none" w:sz="0" w:space="0" w:color="auto"/>
              </w:divBdr>
            </w:div>
            <w:div w:id="539316980">
              <w:marLeft w:val="0"/>
              <w:marRight w:val="0"/>
              <w:marTop w:val="0"/>
              <w:marBottom w:val="0"/>
              <w:divBdr>
                <w:top w:val="none" w:sz="0" w:space="0" w:color="auto"/>
                <w:left w:val="none" w:sz="0" w:space="0" w:color="auto"/>
                <w:bottom w:val="none" w:sz="0" w:space="0" w:color="auto"/>
                <w:right w:val="none" w:sz="0" w:space="0" w:color="auto"/>
              </w:divBdr>
            </w:div>
            <w:div w:id="115948020">
              <w:marLeft w:val="0"/>
              <w:marRight w:val="0"/>
              <w:marTop w:val="0"/>
              <w:marBottom w:val="0"/>
              <w:divBdr>
                <w:top w:val="none" w:sz="0" w:space="0" w:color="auto"/>
                <w:left w:val="none" w:sz="0" w:space="0" w:color="auto"/>
                <w:bottom w:val="none" w:sz="0" w:space="0" w:color="auto"/>
                <w:right w:val="none" w:sz="0" w:space="0" w:color="auto"/>
              </w:divBdr>
            </w:div>
            <w:div w:id="1634366840">
              <w:marLeft w:val="0"/>
              <w:marRight w:val="0"/>
              <w:marTop w:val="0"/>
              <w:marBottom w:val="0"/>
              <w:divBdr>
                <w:top w:val="none" w:sz="0" w:space="0" w:color="auto"/>
                <w:left w:val="none" w:sz="0" w:space="0" w:color="auto"/>
                <w:bottom w:val="none" w:sz="0" w:space="0" w:color="auto"/>
                <w:right w:val="none" w:sz="0" w:space="0" w:color="auto"/>
              </w:divBdr>
            </w:div>
            <w:div w:id="575751293">
              <w:marLeft w:val="0"/>
              <w:marRight w:val="0"/>
              <w:marTop w:val="0"/>
              <w:marBottom w:val="0"/>
              <w:divBdr>
                <w:top w:val="none" w:sz="0" w:space="0" w:color="auto"/>
                <w:left w:val="none" w:sz="0" w:space="0" w:color="auto"/>
                <w:bottom w:val="none" w:sz="0" w:space="0" w:color="auto"/>
                <w:right w:val="none" w:sz="0" w:space="0" w:color="auto"/>
              </w:divBdr>
            </w:div>
            <w:div w:id="2058158478">
              <w:marLeft w:val="0"/>
              <w:marRight w:val="0"/>
              <w:marTop w:val="0"/>
              <w:marBottom w:val="0"/>
              <w:divBdr>
                <w:top w:val="none" w:sz="0" w:space="0" w:color="auto"/>
                <w:left w:val="none" w:sz="0" w:space="0" w:color="auto"/>
                <w:bottom w:val="none" w:sz="0" w:space="0" w:color="auto"/>
                <w:right w:val="none" w:sz="0" w:space="0" w:color="auto"/>
              </w:divBdr>
            </w:div>
            <w:div w:id="875046611">
              <w:marLeft w:val="0"/>
              <w:marRight w:val="0"/>
              <w:marTop w:val="0"/>
              <w:marBottom w:val="0"/>
              <w:divBdr>
                <w:top w:val="none" w:sz="0" w:space="0" w:color="auto"/>
                <w:left w:val="none" w:sz="0" w:space="0" w:color="auto"/>
                <w:bottom w:val="none" w:sz="0" w:space="0" w:color="auto"/>
                <w:right w:val="none" w:sz="0" w:space="0" w:color="auto"/>
              </w:divBdr>
            </w:div>
            <w:div w:id="262807409">
              <w:marLeft w:val="0"/>
              <w:marRight w:val="0"/>
              <w:marTop w:val="0"/>
              <w:marBottom w:val="0"/>
              <w:divBdr>
                <w:top w:val="none" w:sz="0" w:space="0" w:color="auto"/>
                <w:left w:val="none" w:sz="0" w:space="0" w:color="auto"/>
                <w:bottom w:val="none" w:sz="0" w:space="0" w:color="auto"/>
                <w:right w:val="none" w:sz="0" w:space="0" w:color="auto"/>
              </w:divBdr>
            </w:div>
            <w:div w:id="1154296353">
              <w:marLeft w:val="0"/>
              <w:marRight w:val="0"/>
              <w:marTop w:val="0"/>
              <w:marBottom w:val="0"/>
              <w:divBdr>
                <w:top w:val="none" w:sz="0" w:space="0" w:color="auto"/>
                <w:left w:val="none" w:sz="0" w:space="0" w:color="auto"/>
                <w:bottom w:val="none" w:sz="0" w:space="0" w:color="auto"/>
                <w:right w:val="none" w:sz="0" w:space="0" w:color="auto"/>
              </w:divBdr>
            </w:div>
            <w:div w:id="1234967463">
              <w:marLeft w:val="0"/>
              <w:marRight w:val="0"/>
              <w:marTop w:val="0"/>
              <w:marBottom w:val="0"/>
              <w:divBdr>
                <w:top w:val="none" w:sz="0" w:space="0" w:color="auto"/>
                <w:left w:val="none" w:sz="0" w:space="0" w:color="auto"/>
                <w:bottom w:val="none" w:sz="0" w:space="0" w:color="auto"/>
                <w:right w:val="none" w:sz="0" w:space="0" w:color="auto"/>
              </w:divBdr>
            </w:div>
            <w:div w:id="1511220247">
              <w:marLeft w:val="0"/>
              <w:marRight w:val="0"/>
              <w:marTop w:val="0"/>
              <w:marBottom w:val="0"/>
              <w:divBdr>
                <w:top w:val="none" w:sz="0" w:space="0" w:color="auto"/>
                <w:left w:val="none" w:sz="0" w:space="0" w:color="auto"/>
                <w:bottom w:val="none" w:sz="0" w:space="0" w:color="auto"/>
                <w:right w:val="none" w:sz="0" w:space="0" w:color="auto"/>
              </w:divBdr>
            </w:div>
            <w:div w:id="1658068034">
              <w:marLeft w:val="0"/>
              <w:marRight w:val="0"/>
              <w:marTop w:val="0"/>
              <w:marBottom w:val="0"/>
              <w:divBdr>
                <w:top w:val="none" w:sz="0" w:space="0" w:color="auto"/>
                <w:left w:val="none" w:sz="0" w:space="0" w:color="auto"/>
                <w:bottom w:val="none" w:sz="0" w:space="0" w:color="auto"/>
                <w:right w:val="none" w:sz="0" w:space="0" w:color="auto"/>
              </w:divBdr>
            </w:div>
          </w:divsChild>
        </w:div>
        <w:div w:id="633490939">
          <w:marLeft w:val="0"/>
          <w:marRight w:val="0"/>
          <w:marTop w:val="0"/>
          <w:marBottom w:val="0"/>
          <w:divBdr>
            <w:top w:val="none" w:sz="0" w:space="0" w:color="auto"/>
            <w:left w:val="none" w:sz="0" w:space="0" w:color="auto"/>
            <w:bottom w:val="none" w:sz="0" w:space="0" w:color="auto"/>
            <w:right w:val="none" w:sz="0" w:space="0" w:color="auto"/>
          </w:divBdr>
          <w:divsChild>
            <w:div w:id="14744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 w:id="21427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2013800/ex_380940.htm" TargetMode="External"/><Relationship Id="rId39" Type="http://schemas.openxmlformats.org/officeDocument/2006/relationships/footer" Target="footer6.xml"/><Relationship Id="rId21" Type="http://schemas.openxmlformats.org/officeDocument/2006/relationships/header" Target="header9.xml"/><Relationship Id="rId34" Type="http://schemas.openxmlformats.org/officeDocument/2006/relationships/hyperlink" Target="https://www.sec.gov/Archives/edgar/data/832489/000143774922018639/ex_401437.htm" TargetMode="Externa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22013800/ex_380938.htm"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32.htm" TargetMode="External"/><Relationship Id="rId32" Type="http://schemas.openxmlformats.org/officeDocument/2006/relationships/hyperlink" Target="https://www.sec.gov/Archives/edgar/data/832489/000143774922018639/ex_401431.htm" TargetMode="External"/><Relationship Id="rId37" Type="http://schemas.openxmlformats.org/officeDocument/2006/relationships/header" Target="header10.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0.htm" TargetMode="External"/><Relationship Id="rId28" Type="http://schemas.openxmlformats.org/officeDocument/2006/relationships/hyperlink" Target="https://www.sec.gov/Archives/edgar/data/832489/000143774922013800/ex_380937.htm" TargetMode="External"/><Relationship Id="rId36" Type="http://schemas.openxmlformats.org/officeDocument/2006/relationships/hyperlink" Target="https://www.sec.gov/Archives/edgar/data/0000832489/000143774922005677/ex_339972.htm"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0000832489/000143774922005677/ex_33997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29.htm" TargetMode="External"/><Relationship Id="rId27" Type="http://schemas.openxmlformats.org/officeDocument/2006/relationships/hyperlink" Target="https://www.sec.gov/Archives/edgar/data/832489/000143774922013800/ex_380939.htm" TargetMode="External"/><Relationship Id="rId30" Type="http://schemas.openxmlformats.org/officeDocument/2006/relationships/hyperlink" Target="https://www.sec.gov/Archives/edgar/data/832489/000143774922013800/ex_380942.htm" TargetMode="External"/><Relationship Id="rId35" Type="http://schemas.openxmlformats.org/officeDocument/2006/relationships/hyperlink" Target="https://www.sec.gov/Archives/edgar/data/0000832489/000143774922005677/ex_339971.htm"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13800/ex_380936.htm" TargetMode="External"/><Relationship Id="rId33" Type="http://schemas.openxmlformats.org/officeDocument/2006/relationships/hyperlink" Target="https://www.sec.gov/Archives/edgar/data/832489/000143774922018639/ex_401432.htm" TargetMode="External"/><Relationship Id="rId38"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FE5A9-4B13-4409-A32B-B28108F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8497</Words>
  <Characters>48433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3</cp:revision>
  <cp:lastPrinted>2022-10-24T12:57:00Z</cp:lastPrinted>
  <dcterms:created xsi:type="dcterms:W3CDTF">2022-11-03T12:41:00Z</dcterms:created>
  <dcterms:modified xsi:type="dcterms:W3CDTF">2022-11-03T12:42:00Z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WCSR  3894443v2</vt:lpwstr>
  </property>
</Properties>
</file>