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C5A5"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b/>
          <w:bCs/>
          <w:color w:val="777777"/>
          <w:sz w:val="21"/>
          <w:szCs w:val="21"/>
        </w:rPr>
        <w:t>Victorian Junior Ranking System</w:t>
      </w:r>
    </w:p>
    <w:p w14:paraId="652F0815"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The Victorian State Rankings are prepared on the basis of an objective system to allocate points to players for performances in selected events. The system was first created to alleviate problems with subjective processes that existed previously and within which players found difficulty in planning their development pathways.</w:t>
      </w:r>
    </w:p>
    <w:p w14:paraId="5855EFDC"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State Rankings Lists are published as soon as possible following an event in Victoria.</w:t>
      </w:r>
    </w:p>
    <w:p w14:paraId="73DFA9C7"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b/>
          <w:bCs/>
          <w:color w:val="777777"/>
          <w:sz w:val="21"/>
          <w:szCs w:val="21"/>
        </w:rPr>
        <w:t>Points Based System</w:t>
      </w:r>
    </w:p>
    <w:p w14:paraId="668135D8"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This ranking system employs an objective points based method of determining rankings and was modelled on the PSA and WISPA tour ranking systems. Every selected event is given a point value and it is these points that are distributed amongst the participants based on their finishing position. Events are nominated at the beginning of the year and their relative value established according to the following table:</w:t>
      </w:r>
    </w:p>
    <w:p w14:paraId="05FB97BC"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b/>
          <w:bCs/>
          <w:color w:val="777777"/>
          <w:sz w:val="21"/>
          <w:szCs w:val="21"/>
        </w:rPr>
        <w:t>Points Allocation and Calculation for Events</w:t>
      </w:r>
    </w:p>
    <w:tbl>
      <w:tblPr>
        <w:tblW w:w="67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4"/>
        <w:gridCol w:w="1498"/>
        <w:gridCol w:w="1892"/>
        <w:gridCol w:w="1756"/>
      </w:tblGrid>
      <w:tr w:rsidR="00565DD0" w:rsidRPr="00565DD0" w14:paraId="40582907" w14:textId="77777777" w:rsidTr="00565DD0">
        <w:tc>
          <w:tcPr>
            <w:tcW w:w="162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FF8A8DE"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Finishing</w:t>
            </w:r>
            <w:r w:rsidRPr="00565DD0">
              <w:rPr>
                <w:rFonts w:ascii="Arial" w:eastAsia="Times New Roman" w:hAnsi="Arial" w:cs="Arial"/>
                <w:color w:val="777777"/>
                <w:sz w:val="21"/>
                <w:szCs w:val="21"/>
              </w:rPr>
              <w:br/>
              <w:t>Position</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1730E83"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State Title</w:t>
            </w:r>
          </w:p>
          <w:p w14:paraId="56008477"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b/>
                <w:bCs/>
                <w:color w:val="777777"/>
                <w:sz w:val="21"/>
                <w:szCs w:val="21"/>
              </w:rPr>
              <w:t>GOLD</w:t>
            </w:r>
          </w:p>
        </w:tc>
        <w:tc>
          <w:tcPr>
            <w:tcW w:w="187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CE6B101"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Regional Junior Age</w:t>
            </w:r>
          </w:p>
          <w:p w14:paraId="69216327"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b/>
                <w:bCs/>
                <w:color w:val="777777"/>
                <w:sz w:val="21"/>
                <w:szCs w:val="21"/>
              </w:rPr>
              <w:t>SILVER</w:t>
            </w:r>
          </w:p>
        </w:tc>
        <w:tc>
          <w:tcPr>
            <w:tcW w:w="174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0E5CFAC"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Local Club Event</w:t>
            </w:r>
          </w:p>
          <w:p w14:paraId="4B5CC0AA"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b/>
                <w:bCs/>
                <w:color w:val="777777"/>
                <w:sz w:val="21"/>
                <w:szCs w:val="21"/>
              </w:rPr>
              <w:t>BRONZE</w:t>
            </w:r>
          </w:p>
        </w:tc>
      </w:tr>
      <w:tr w:rsidR="00565DD0" w:rsidRPr="00565DD0" w14:paraId="2A8734E5" w14:textId="77777777" w:rsidTr="00565DD0">
        <w:tc>
          <w:tcPr>
            <w:tcW w:w="162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12AC145"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Winner</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04531BC"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1200.00</w:t>
            </w:r>
          </w:p>
        </w:tc>
        <w:tc>
          <w:tcPr>
            <w:tcW w:w="187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991BF94"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800.00</w:t>
            </w:r>
          </w:p>
        </w:tc>
        <w:tc>
          <w:tcPr>
            <w:tcW w:w="174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76F7925"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100.00</w:t>
            </w:r>
          </w:p>
        </w:tc>
      </w:tr>
      <w:tr w:rsidR="00565DD0" w:rsidRPr="00565DD0" w14:paraId="2895DF38" w14:textId="77777777" w:rsidTr="00565DD0">
        <w:tc>
          <w:tcPr>
            <w:tcW w:w="162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004EE5D"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Runner Up</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8392FF6"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840.00</w:t>
            </w:r>
          </w:p>
        </w:tc>
        <w:tc>
          <w:tcPr>
            <w:tcW w:w="187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4F1E9D3"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560.00</w:t>
            </w:r>
          </w:p>
        </w:tc>
        <w:tc>
          <w:tcPr>
            <w:tcW w:w="174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FA42E6E"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70.00</w:t>
            </w:r>
          </w:p>
        </w:tc>
      </w:tr>
      <w:tr w:rsidR="00565DD0" w:rsidRPr="00565DD0" w14:paraId="6D9ACC53" w14:textId="77777777" w:rsidTr="00565DD0">
        <w:tc>
          <w:tcPr>
            <w:tcW w:w="162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8A13619"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3</w:t>
            </w:r>
            <w:r w:rsidRPr="00565DD0">
              <w:rPr>
                <w:rFonts w:ascii="Arial" w:eastAsia="Times New Roman" w:hAnsi="Arial" w:cs="Arial"/>
                <w:color w:val="777777"/>
                <w:sz w:val="16"/>
                <w:szCs w:val="16"/>
                <w:vertAlign w:val="superscript"/>
              </w:rPr>
              <w:t>rd</w:t>
            </w:r>
            <w:r w:rsidRPr="00565DD0">
              <w:rPr>
                <w:rFonts w:ascii="Arial" w:eastAsia="Times New Roman" w:hAnsi="Arial" w:cs="Arial"/>
                <w:color w:val="777777"/>
                <w:sz w:val="21"/>
                <w:szCs w:val="21"/>
              </w:rPr>
              <w:t>/4</w:t>
            </w:r>
            <w:r w:rsidRPr="00565DD0">
              <w:rPr>
                <w:rFonts w:ascii="Arial" w:eastAsia="Times New Roman" w:hAnsi="Arial" w:cs="Arial"/>
                <w:color w:val="777777"/>
                <w:sz w:val="16"/>
                <w:szCs w:val="16"/>
                <w:vertAlign w:val="superscript"/>
              </w:rPr>
              <w:t>th</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BA50CE2"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540.00</w:t>
            </w:r>
          </w:p>
        </w:tc>
        <w:tc>
          <w:tcPr>
            <w:tcW w:w="187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5EC35F6"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360.00</w:t>
            </w:r>
          </w:p>
        </w:tc>
        <w:tc>
          <w:tcPr>
            <w:tcW w:w="174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1DEDB95"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50.00</w:t>
            </w:r>
          </w:p>
        </w:tc>
      </w:tr>
      <w:tr w:rsidR="00565DD0" w:rsidRPr="00565DD0" w14:paraId="5E22EA9F" w14:textId="77777777" w:rsidTr="00565DD0">
        <w:tc>
          <w:tcPr>
            <w:tcW w:w="162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69D8D40"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5</w:t>
            </w:r>
            <w:r w:rsidRPr="00565DD0">
              <w:rPr>
                <w:rFonts w:ascii="Arial" w:eastAsia="Times New Roman" w:hAnsi="Arial" w:cs="Arial"/>
                <w:color w:val="777777"/>
                <w:sz w:val="16"/>
                <w:szCs w:val="16"/>
                <w:vertAlign w:val="superscript"/>
              </w:rPr>
              <w:t>th</w:t>
            </w:r>
            <w:r w:rsidRPr="00565DD0">
              <w:rPr>
                <w:rFonts w:ascii="Arial" w:eastAsia="Times New Roman" w:hAnsi="Arial" w:cs="Arial"/>
                <w:color w:val="777777"/>
                <w:sz w:val="21"/>
                <w:szCs w:val="21"/>
              </w:rPr>
              <w:t>-8</w:t>
            </w:r>
            <w:r w:rsidRPr="00565DD0">
              <w:rPr>
                <w:rFonts w:ascii="Arial" w:eastAsia="Times New Roman" w:hAnsi="Arial" w:cs="Arial"/>
                <w:color w:val="777777"/>
                <w:sz w:val="16"/>
                <w:szCs w:val="16"/>
                <w:vertAlign w:val="superscript"/>
              </w:rPr>
              <w:t>th</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540CF41"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345.00</w:t>
            </w:r>
          </w:p>
        </w:tc>
        <w:tc>
          <w:tcPr>
            <w:tcW w:w="187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25BC5E1"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230.00</w:t>
            </w:r>
          </w:p>
        </w:tc>
        <w:tc>
          <w:tcPr>
            <w:tcW w:w="174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5C33DB3"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40.00</w:t>
            </w:r>
          </w:p>
        </w:tc>
      </w:tr>
      <w:tr w:rsidR="00565DD0" w:rsidRPr="00565DD0" w14:paraId="06C23466" w14:textId="77777777" w:rsidTr="00565DD0">
        <w:tc>
          <w:tcPr>
            <w:tcW w:w="162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C8FB37E"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9</w:t>
            </w:r>
            <w:r w:rsidRPr="00565DD0">
              <w:rPr>
                <w:rFonts w:ascii="Arial" w:eastAsia="Times New Roman" w:hAnsi="Arial" w:cs="Arial"/>
                <w:color w:val="777777"/>
                <w:sz w:val="16"/>
                <w:szCs w:val="16"/>
                <w:vertAlign w:val="superscript"/>
              </w:rPr>
              <w:t>th</w:t>
            </w:r>
            <w:r w:rsidRPr="00565DD0">
              <w:rPr>
                <w:rFonts w:ascii="Arial" w:eastAsia="Times New Roman" w:hAnsi="Arial" w:cs="Arial"/>
                <w:color w:val="777777"/>
                <w:sz w:val="21"/>
                <w:szCs w:val="21"/>
              </w:rPr>
              <w:t>-16</w:t>
            </w:r>
            <w:r w:rsidRPr="00565DD0">
              <w:rPr>
                <w:rFonts w:ascii="Arial" w:eastAsia="Times New Roman" w:hAnsi="Arial" w:cs="Arial"/>
                <w:color w:val="777777"/>
                <w:sz w:val="16"/>
                <w:szCs w:val="16"/>
                <w:vertAlign w:val="superscript"/>
              </w:rPr>
              <w:t>th</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FE5F1E5"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202.50</w:t>
            </w:r>
          </w:p>
        </w:tc>
        <w:tc>
          <w:tcPr>
            <w:tcW w:w="187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37DA141"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135.00</w:t>
            </w:r>
          </w:p>
        </w:tc>
        <w:tc>
          <w:tcPr>
            <w:tcW w:w="174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5A003E5"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32.50</w:t>
            </w:r>
          </w:p>
        </w:tc>
      </w:tr>
      <w:tr w:rsidR="00565DD0" w:rsidRPr="00565DD0" w14:paraId="386D6571" w14:textId="77777777" w:rsidTr="00565DD0">
        <w:tc>
          <w:tcPr>
            <w:tcW w:w="162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360D61D"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17</w:t>
            </w:r>
            <w:r w:rsidRPr="00565DD0">
              <w:rPr>
                <w:rFonts w:ascii="Arial" w:eastAsia="Times New Roman" w:hAnsi="Arial" w:cs="Arial"/>
                <w:color w:val="777777"/>
                <w:sz w:val="16"/>
                <w:szCs w:val="16"/>
                <w:vertAlign w:val="superscript"/>
              </w:rPr>
              <w:t>th</w:t>
            </w:r>
            <w:r w:rsidRPr="00565DD0">
              <w:rPr>
                <w:rFonts w:ascii="Arial" w:eastAsia="Times New Roman" w:hAnsi="Arial" w:cs="Arial"/>
                <w:color w:val="777777"/>
                <w:sz w:val="21"/>
                <w:szCs w:val="21"/>
              </w:rPr>
              <w:t>-32</w:t>
            </w:r>
            <w:r w:rsidRPr="00565DD0">
              <w:rPr>
                <w:rFonts w:ascii="Arial" w:eastAsia="Times New Roman" w:hAnsi="Arial" w:cs="Arial"/>
                <w:color w:val="777777"/>
                <w:sz w:val="16"/>
                <w:szCs w:val="16"/>
                <w:vertAlign w:val="superscript"/>
              </w:rPr>
              <w:t>nd</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503050F"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87.00</w:t>
            </w:r>
          </w:p>
        </w:tc>
        <w:tc>
          <w:tcPr>
            <w:tcW w:w="1875"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FE5C0DB"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58.00</w:t>
            </w:r>
          </w:p>
        </w:tc>
        <w:tc>
          <w:tcPr>
            <w:tcW w:w="1740" w:type="dxa"/>
            <w:tcBorders>
              <w:top w:val="single" w:sz="6" w:space="0" w:color="DDDDDD"/>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C245213" w14:textId="77777777" w:rsidR="00565DD0" w:rsidRPr="00565DD0" w:rsidRDefault="00565DD0" w:rsidP="00565DD0">
            <w:pPr>
              <w:spacing w:after="300" w:line="360" w:lineRule="atLeast"/>
              <w:rPr>
                <w:rFonts w:ascii="Arial" w:eastAsia="Times New Roman" w:hAnsi="Arial" w:cs="Arial"/>
                <w:color w:val="777777"/>
                <w:sz w:val="21"/>
                <w:szCs w:val="21"/>
              </w:rPr>
            </w:pPr>
            <w:r w:rsidRPr="00565DD0">
              <w:rPr>
                <w:rFonts w:ascii="Arial" w:eastAsia="Times New Roman" w:hAnsi="Arial" w:cs="Arial"/>
                <w:color w:val="777777"/>
                <w:sz w:val="21"/>
                <w:szCs w:val="21"/>
              </w:rPr>
              <w:t>11.00</w:t>
            </w:r>
          </w:p>
        </w:tc>
      </w:tr>
    </w:tbl>
    <w:p w14:paraId="57D95EEA"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b/>
          <w:bCs/>
          <w:color w:val="777777"/>
          <w:sz w:val="21"/>
          <w:szCs w:val="21"/>
        </w:rPr>
        <w:lastRenderedPageBreak/>
        <w:br/>
        <w:t>Divisor</w:t>
      </w:r>
    </w:p>
    <w:p w14:paraId="491B200F"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On each date rankings are due to be published the total accumulated points for each player at that time is divided by 4 on every occasion, so that by the end of the competition year, any results for events beyond the minimum four can be dropped and the rankings will reflect each player's best 4 results, divided by 4.</w:t>
      </w:r>
    </w:p>
    <w:p w14:paraId="30A9AC41"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For example, if a player competes in 5 or 6 events the results from their best four events is included and the poorer results beyond four events dropped off. National Junior Series and Australian Junior Championships have not been included as this is to reflect Victorians competing in Victorian events.</w:t>
      </w:r>
    </w:p>
    <w:p w14:paraId="7841F40E"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Players who compete in the AJO or AJC will not be disadvantaged - these results are considered directly by national selectors at time of producing national rankings, along with consideration of state ranking lists. So for a player to get the best possible national ranking, they must be ranked highly within their own state and perform well at national events.</w:t>
      </w:r>
    </w:p>
    <w:p w14:paraId="153CB101" w14:textId="77777777" w:rsidR="00565DD0" w:rsidRPr="00565DD0" w:rsidRDefault="00565DD0" w:rsidP="00565DD0">
      <w:pPr>
        <w:shd w:val="clear" w:color="auto" w:fill="FFFFFF"/>
        <w:spacing w:after="300" w:line="360" w:lineRule="atLeast"/>
        <w:rPr>
          <w:rFonts w:ascii="Arial" w:eastAsia="Times New Roman" w:hAnsi="Arial" w:cs="Arial"/>
          <w:color w:val="777777"/>
          <w:sz w:val="21"/>
          <w:szCs w:val="21"/>
        </w:rPr>
      </w:pPr>
      <w:r w:rsidRPr="00565DD0">
        <w:rPr>
          <w:rFonts w:ascii="Arial" w:eastAsia="Times New Roman" w:hAnsi="Arial" w:cs="Arial"/>
          <w:b/>
          <w:bCs/>
          <w:color w:val="777777"/>
          <w:sz w:val="21"/>
          <w:szCs w:val="21"/>
        </w:rPr>
        <w:t>Principles Incorporated</w:t>
      </w:r>
    </w:p>
    <w:p w14:paraId="545F26D7"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1. Events have differing status - a win in a state event (usually against stronger players) is valued higher than a win in a smaller local or regional event (usually with lesser standards of opposition);</w:t>
      </w:r>
    </w:p>
    <w:p w14:paraId="6161D7C7"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2. The Divisor minimises the time commitment of players (and families) to a reasonable level of participation, given the number of events available, but also ensures that players put themselves "on the line" regularly;</w:t>
      </w:r>
    </w:p>
    <w:p w14:paraId="019FC6B0"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3. The continued division of any points accumulated by players ensures that early results must be maintained in order to maintain rankings;</w:t>
      </w:r>
    </w:p>
    <w:p w14:paraId="6995F5CC"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4. Players participating more are given the opportunity to drop off poorer results that may occur from time to time through injury, illness or learning processes;</w:t>
      </w:r>
    </w:p>
    <w:p w14:paraId="3903853A"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5. Principles of the Professional Circuit ranking systems have been incorporated to provide a preparatory opportunity for juniors with goals at that level;</w:t>
      </w:r>
    </w:p>
    <w:p w14:paraId="571AD983" w14:textId="77777777" w:rsidR="00565DD0" w:rsidRPr="00565DD0" w:rsidRDefault="00565DD0" w:rsidP="00565DD0">
      <w:pPr>
        <w:shd w:val="clear" w:color="auto" w:fill="FFFFFF"/>
        <w:spacing w:after="300" w:line="360" w:lineRule="atLeast"/>
        <w:jc w:val="both"/>
        <w:rPr>
          <w:rFonts w:ascii="Arial" w:eastAsia="Times New Roman" w:hAnsi="Arial" w:cs="Arial"/>
          <w:color w:val="777777"/>
          <w:sz w:val="21"/>
          <w:szCs w:val="21"/>
        </w:rPr>
      </w:pPr>
      <w:r w:rsidRPr="00565DD0">
        <w:rPr>
          <w:rFonts w:ascii="Arial" w:eastAsia="Times New Roman" w:hAnsi="Arial" w:cs="Arial"/>
          <w:color w:val="777777"/>
          <w:sz w:val="21"/>
          <w:szCs w:val="21"/>
        </w:rPr>
        <w:t>6. Players and coaches can spend time developing their players without being concerned about losing in events that are not specified and thus inhibiting broad development.</w:t>
      </w:r>
    </w:p>
    <w:p w14:paraId="3516F5CF" w14:textId="77777777" w:rsidR="006E3723" w:rsidRDefault="006E3723"/>
    <w:sectPr w:rsidR="006E3723" w:rsidSect="007416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D0"/>
    <w:rsid w:val="002E5CB0"/>
    <w:rsid w:val="00565DD0"/>
    <w:rsid w:val="006E3723"/>
    <w:rsid w:val="00741624"/>
    <w:rsid w:val="00A012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533910"/>
  <w15:chartTrackingRefBased/>
  <w15:docId w15:val="{54424FB3-8B9C-8D4E-B6E7-D7EC8FAF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D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65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9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Hodson</dc:creator>
  <cp:keywords/>
  <dc:description/>
  <cp:lastModifiedBy>Meredith Hodson</cp:lastModifiedBy>
  <cp:revision>1</cp:revision>
  <dcterms:created xsi:type="dcterms:W3CDTF">2020-04-07T02:12:00Z</dcterms:created>
  <dcterms:modified xsi:type="dcterms:W3CDTF">2020-04-07T02:12:00Z</dcterms:modified>
</cp:coreProperties>
</file>