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C80B" w14:textId="77777777" w:rsidR="00A1180D" w:rsidRDefault="00A1180D">
      <w:pPr>
        <w:pStyle w:val="BodyText"/>
        <w:rPr>
          <w:sz w:val="20"/>
        </w:rPr>
      </w:pPr>
    </w:p>
    <w:p w14:paraId="674921D7" w14:textId="77777777" w:rsidR="00A1180D" w:rsidRDefault="00A1180D">
      <w:pPr>
        <w:pStyle w:val="BodyText"/>
        <w:rPr>
          <w:sz w:val="20"/>
        </w:rPr>
      </w:pPr>
    </w:p>
    <w:p w14:paraId="7BA418C2" w14:textId="77777777" w:rsidR="00A1180D" w:rsidRDefault="00A1180D">
      <w:pPr>
        <w:pStyle w:val="BodyText"/>
        <w:spacing w:before="4"/>
        <w:rPr>
          <w:sz w:val="16"/>
        </w:rPr>
      </w:pPr>
    </w:p>
    <w:p w14:paraId="6156BAA4" w14:textId="5DBBEBDB" w:rsidR="00A1180D" w:rsidRDefault="00CA72FB">
      <w:pPr>
        <w:pStyle w:val="BodyText"/>
        <w:spacing w:before="91"/>
        <w:ind w:left="4423" w:right="4423"/>
        <w:jc w:val="center"/>
        <w:rPr>
          <w:color w:val="2F2A2B"/>
          <w:w w:val="105"/>
        </w:rPr>
      </w:pPr>
      <w:r>
        <w:rPr>
          <w:color w:val="2F2A2B"/>
          <w:w w:val="105"/>
        </w:rPr>
        <w:t>References</w:t>
      </w:r>
    </w:p>
    <w:p w14:paraId="0D5406F4" w14:textId="77777777" w:rsidR="00CA72FB" w:rsidRDefault="00CA72FB">
      <w:pPr>
        <w:pStyle w:val="BodyText"/>
        <w:spacing w:before="91"/>
        <w:ind w:left="4423" w:right="4423"/>
        <w:jc w:val="center"/>
      </w:pPr>
    </w:p>
    <w:p w14:paraId="501FC163" w14:textId="25E59FB0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>
        <w:rPr>
          <w:rFonts w:ascii="Roboto-Regular" w:eastAsiaTheme="minorHAnsi" w:hAnsi="Roboto-Regular" w:cs="Roboto-Regular"/>
          <w:color w:val="000000"/>
        </w:rPr>
        <w:t>Brenner, I. (2018). Catching a wave: The hypnosis-sensitive and transference-based treatment of dissociative</w:t>
      </w:r>
      <w:r>
        <w:rPr>
          <w:rFonts w:ascii="Roboto-Regular" w:eastAsiaTheme="minorHAnsi" w:hAnsi="Roboto-Regular" w:cs="Roboto-Regular"/>
          <w:color w:val="000000"/>
        </w:rPr>
        <w:t xml:space="preserve"> </w:t>
      </w:r>
      <w:r>
        <w:rPr>
          <w:rFonts w:ascii="Roboto-Regular" w:eastAsiaTheme="minorHAnsi" w:hAnsi="Roboto-Regular" w:cs="Roboto-Regular"/>
          <w:color w:val="000000"/>
        </w:rPr>
        <w:t xml:space="preserve">identity disorder (DID). </w:t>
      </w:r>
      <w:r>
        <w:rPr>
          <w:rFonts w:ascii="Roboto-Italic" w:eastAsiaTheme="minorHAnsi" w:hAnsi="Roboto-Italic" w:cs="Roboto-Italic"/>
          <w:i/>
          <w:iCs/>
          <w:color w:val="000000"/>
        </w:rPr>
        <w:t>American Journal of Hypnosis</w:t>
      </w:r>
      <w:r>
        <w:rPr>
          <w:rFonts w:ascii="Roboto-Regular" w:eastAsiaTheme="minorHAnsi" w:hAnsi="Roboto-Regular" w:cs="Roboto-Regular"/>
          <w:color w:val="000000"/>
        </w:rPr>
        <w:t xml:space="preserve">, 60 (3), 279–295. </w:t>
      </w:r>
      <w:hyperlink r:id="rId5" w:history="1">
        <w:r w:rsidRPr="000072B3">
          <w:rPr>
            <w:rStyle w:val="Hyperlink"/>
            <w:rFonts w:ascii="Roboto-Regular" w:eastAsiaTheme="minorHAnsi" w:hAnsi="Roboto-Regular" w:cs="Roboto-Regular"/>
          </w:rPr>
          <w:t>https://doi.org/10.1080/00029157.2018.1400843</w:t>
        </w:r>
      </w:hyperlink>
    </w:p>
    <w:p w14:paraId="5AEBCC13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6AF5DD1E" w14:textId="5498C2EB" w:rsidR="00422C31" w:rsidRPr="00422C31" w:rsidRDefault="00422C31" w:rsidP="00422C31">
      <w:pPr>
        <w:widowControl/>
        <w:adjustRightInd w:val="0"/>
        <w:rPr>
          <w:rFonts w:ascii="Roboto-Italic" w:eastAsiaTheme="minorHAnsi" w:hAnsi="Roboto-Italic" w:cs="Roboto-Italic"/>
          <w:i/>
          <w:iCs/>
          <w:color w:val="000000"/>
        </w:rPr>
      </w:pPr>
      <w:r>
        <w:rPr>
          <w:rFonts w:ascii="Roboto-Regular" w:eastAsiaTheme="minorHAnsi" w:hAnsi="Roboto-Regular" w:cs="Roboto-Regular"/>
          <w:color w:val="000000"/>
        </w:rPr>
        <w:t xml:space="preserve">Dell, P.F. (2019). Reconsidering the autohypnotic model of the dissociative disorders. </w:t>
      </w:r>
      <w:r>
        <w:rPr>
          <w:rFonts w:ascii="Roboto-Italic" w:eastAsiaTheme="minorHAnsi" w:hAnsi="Roboto-Italic" w:cs="Roboto-Italic"/>
          <w:i/>
          <w:iCs/>
          <w:color w:val="000000"/>
        </w:rPr>
        <w:t>Journal of Trauma and</w:t>
      </w:r>
      <w:r>
        <w:rPr>
          <w:rFonts w:ascii="Roboto-Italic" w:eastAsiaTheme="minorHAnsi" w:hAnsi="Roboto-Italic" w:cs="Roboto-Italic"/>
          <w:i/>
          <w:iCs/>
          <w:color w:val="000000"/>
        </w:rPr>
        <w:t xml:space="preserve"> </w:t>
      </w:r>
      <w:r>
        <w:rPr>
          <w:rFonts w:ascii="Roboto-Italic" w:eastAsiaTheme="minorHAnsi" w:hAnsi="Roboto-Italic" w:cs="Roboto-Italic"/>
          <w:i/>
          <w:iCs/>
          <w:color w:val="000000"/>
        </w:rPr>
        <w:t>Dissociation</w:t>
      </w:r>
      <w:r>
        <w:rPr>
          <w:rFonts w:ascii="Roboto-Regular" w:eastAsiaTheme="minorHAnsi" w:hAnsi="Roboto-Regular" w:cs="Roboto-Regular"/>
          <w:color w:val="000000"/>
        </w:rPr>
        <w:t xml:space="preserve">, 20 (1), 48-78. </w:t>
      </w:r>
      <w:r>
        <w:rPr>
          <w:rFonts w:ascii="Roboto-Regular" w:eastAsiaTheme="minorHAnsi" w:hAnsi="Roboto-Regular" w:cs="Roboto-Regular"/>
          <w:color w:val="0000FF"/>
        </w:rPr>
        <w:t>https://doi.org/10.1080/15299732.2018.1451806</w:t>
      </w:r>
    </w:p>
    <w:p w14:paraId="0FCE01B2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7530A9AD" w14:textId="037A8F09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>
        <w:rPr>
          <w:rFonts w:ascii="Roboto-Regular" w:eastAsiaTheme="minorHAnsi" w:hAnsi="Roboto-Regular" w:cs="Roboto-Regular"/>
          <w:color w:val="000000"/>
        </w:rPr>
        <w:t xml:space="preserve">Leong, Y.C., Radulescu, A., Daniel, R., </w:t>
      </w:r>
      <w:proofErr w:type="spellStart"/>
      <w:r>
        <w:rPr>
          <w:rFonts w:ascii="Roboto-Regular" w:eastAsiaTheme="minorHAnsi" w:hAnsi="Roboto-Regular" w:cs="Roboto-Regular"/>
          <w:color w:val="000000"/>
        </w:rPr>
        <w:t>DeWoskin</w:t>
      </w:r>
      <w:proofErr w:type="spellEnd"/>
      <w:r>
        <w:rPr>
          <w:rFonts w:ascii="Roboto-Regular" w:eastAsiaTheme="minorHAnsi" w:hAnsi="Roboto-Regular" w:cs="Roboto-Regular"/>
          <w:color w:val="000000"/>
        </w:rPr>
        <w:t>, V., &amp; Niv, Y. (2017). Dynamic interaction between</w:t>
      </w:r>
    </w:p>
    <w:p w14:paraId="66EA53B2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>
        <w:rPr>
          <w:rFonts w:ascii="Roboto-Regular" w:eastAsiaTheme="minorHAnsi" w:hAnsi="Roboto-Regular" w:cs="Roboto-Regular"/>
          <w:color w:val="000000"/>
        </w:rPr>
        <w:t xml:space="preserve">reinforcement learning and attention in multidimensional environments. </w:t>
      </w:r>
      <w:r>
        <w:rPr>
          <w:rFonts w:ascii="Roboto-Italic" w:eastAsiaTheme="minorHAnsi" w:hAnsi="Roboto-Italic" w:cs="Roboto-Italic"/>
          <w:i/>
          <w:iCs/>
          <w:color w:val="000000"/>
        </w:rPr>
        <w:t>Neuron</w:t>
      </w:r>
      <w:r>
        <w:rPr>
          <w:rFonts w:ascii="Roboto-Regular" w:eastAsiaTheme="minorHAnsi" w:hAnsi="Roboto-Regular" w:cs="Roboto-Regular"/>
          <w:color w:val="000000"/>
        </w:rPr>
        <w:t>, 93, 451-463.</w:t>
      </w:r>
    </w:p>
    <w:p w14:paraId="4699CBA0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>
        <w:rPr>
          <w:rFonts w:ascii="Roboto-Regular" w:eastAsiaTheme="minorHAnsi" w:hAnsi="Roboto-Regular" w:cs="Roboto-Regular"/>
          <w:color w:val="000000"/>
        </w:rPr>
        <w:t>http://dx.doi.org/10.1016/j.neuron.2016.12.040</w:t>
      </w:r>
    </w:p>
    <w:p w14:paraId="120A1E00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5C674C34" w14:textId="5520B218" w:rsidR="00422C31" w:rsidRPr="00422C31" w:rsidRDefault="00422C31" w:rsidP="00422C31">
      <w:pPr>
        <w:widowControl/>
        <w:adjustRightInd w:val="0"/>
        <w:rPr>
          <w:rFonts w:ascii="Roboto-Italic" w:eastAsiaTheme="minorHAnsi" w:hAnsi="Roboto-Italic" w:cs="Roboto-Italic"/>
          <w:i/>
          <w:iCs/>
          <w:color w:val="000000"/>
        </w:rPr>
      </w:pPr>
      <w:r>
        <w:rPr>
          <w:rFonts w:ascii="Roboto-Regular" w:eastAsiaTheme="minorHAnsi" w:hAnsi="Roboto-Regular" w:cs="Roboto-Regular"/>
          <w:color w:val="000000"/>
        </w:rPr>
        <w:t xml:space="preserve">O’Neil, J. (2018). Hypnosis and psychoanalysis: Undoing Freud’s primal category mistake. </w:t>
      </w:r>
      <w:r>
        <w:rPr>
          <w:rFonts w:ascii="Roboto-Italic" w:eastAsiaTheme="minorHAnsi" w:hAnsi="Roboto-Italic" w:cs="Roboto-Italic"/>
          <w:i/>
          <w:iCs/>
          <w:color w:val="000000"/>
        </w:rPr>
        <w:t>American Journal</w:t>
      </w:r>
      <w:r>
        <w:rPr>
          <w:rFonts w:ascii="Roboto-Italic" w:eastAsiaTheme="minorHAnsi" w:hAnsi="Roboto-Italic" w:cs="Roboto-Italic"/>
          <w:i/>
          <w:iCs/>
          <w:color w:val="000000"/>
        </w:rPr>
        <w:t xml:space="preserve"> </w:t>
      </w:r>
      <w:r>
        <w:rPr>
          <w:rFonts w:ascii="Roboto-Italic" w:eastAsiaTheme="minorHAnsi" w:hAnsi="Roboto-Italic" w:cs="Roboto-Italic"/>
          <w:i/>
          <w:iCs/>
          <w:color w:val="000000"/>
        </w:rPr>
        <w:t>of Clinical Hypnosis</w:t>
      </w:r>
      <w:r>
        <w:rPr>
          <w:rFonts w:ascii="Roboto-Regular" w:eastAsiaTheme="minorHAnsi" w:hAnsi="Roboto-Regular" w:cs="Roboto-Regular"/>
          <w:color w:val="000000"/>
        </w:rPr>
        <w:t xml:space="preserve">, 60(3), 262–278. </w:t>
      </w:r>
      <w:r>
        <w:rPr>
          <w:rFonts w:ascii="Roboto-Regular" w:eastAsiaTheme="minorHAnsi" w:hAnsi="Roboto-Regular" w:cs="Roboto-Regular"/>
          <w:color w:val="0000FF"/>
        </w:rPr>
        <w:t>https://doi.org/10.1080/00029157.2018.1400841</w:t>
      </w:r>
    </w:p>
    <w:p w14:paraId="2C5F061E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01E358A3" w14:textId="625D3249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>
        <w:rPr>
          <w:rFonts w:ascii="Roboto-Regular" w:eastAsiaTheme="minorHAnsi" w:hAnsi="Roboto-Regular" w:cs="Roboto-Regular"/>
          <w:color w:val="000000"/>
        </w:rPr>
        <w:t xml:space="preserve">Wall, T. (2018). Hypnosis: A psychodynamic perspective. </w:t>
      </w:r>
      <w:r>
        <w:rPr>
          <w:rFonts w:ascii="Roboto-Italic" w:eastAsiaTheme="minorHAnsi" w:hAnsi="Roboto-Italic" w:cs="Roboto-Italic"/>
          <w:i/>
          <w:iCs/>
          <w:color w:val="000000"/>
        </w:rPr>
        <w:t>American Journal of Clinical Hypnosis</w:t>
      </w:r>
      <w:r>
        <w:rPr>
          <w:rFonts w:ascii="Roboto-Regular" w:eastAsiaTheme="minorHAnsi" w:hAnsi="Roboto-Regular" w:cs="Roboto-Regular"/>
          <w:color w:val="000000"/>
        </w:rPr>
        <w:t>, 60:3, 218-</w:t>
      </w:r>
    </w:p>
    <w:p w14:paraId="05064A12" w14:textId="09CC0E5B" w:rsidR="00BA6617" w:rsidRDefault="00422C31" w:rsidP="00422C31">
      <w:pPr>
        <w:rPr>
          <w:color w:val="2F2A2B"/>
          <w:w w:val="105"/>
          <w:sz w:val="23"/>
        </w:rPr>
      </w:pPr>
      <w:r>
        <w:rPr>
          <w:rFonts w:ascii="Roboto-Regular" w:eastAsiaTheme="minorHAnsi" w:hAnsi="Roboto-Regular" w:cs="Roboto-Regular"/>
          <w:color w:val="000000"/>
        </w:rPr>
        <w:t>238. https://doi.org: 10.1080/00029157.2018.1400809</w:t>
      </w:r>
    </w:p>
    <w:sectPr w:rsidR="00BA6617">
      <w:type w:val="continuous"/>
      <w:pgSz w:w="12240" w:h="15840"/>
      <w:pgMar w:top="150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BD8"/>
    <w:multiLevelType w:val="hybridMultilevel"/>
    <w:tmpl w:val="DAF20A3A"/>
    <w:lvl w:ilvl="0" w:tplc="B57E492C">
      <w:start w:val="4"/>
      <w:numFmt w:val="decimal"/>
      <w:lvlText w:val="%1."/>
      <w:lvlJc w:val="left"/>
      <w:pPr>
        <w:ind w:left="118" w:hanging="179"/>
        <w:jc w:val="left"/>
      </w:pPr>
      <w:rPr>
        <w:rFonts w:ascii="Times New Roman" w:eastAsia="Times New Roman" w:hAnsi="Times New Roman" w:cs="Times New Roman" w:hint="default"/>
        <w:color w:val="2F2A2B"/>
        <w:spacing w:val="-8"/>
        <w:w w:val="100"/>
        <w:sz w:val="21"/>
        <w:szCs w:val="21"/>
      </w:rPr>
    </w:lvl>
    <w:lvl w:ilvl="1" w:tplc="A0F6A8C8">
      <w:numFmt w:val="bullet"/>
      <w:lvlText w:val="•"/>
      <w:lvlJc w:val="left"/>
      <w:pPr>
        <w:ind w:left="1104" w:hanging="179"/>
      </w:pPr>
      <w:rPr>
        <w:rFonts w:hint="default"/>
      </w:rPr>
    </w:lvl>
    <w:lvl w:ilvl="2" w:tplc="AA04F910">
      <w:numFmt w:val="bullet"/>
      <w:lvlText w:val="•"/>
      <w:lvlJc w:val="left"/>
      <w:pPr>
        <w:ind w:left="2088" w:hanging="179"/>
      </w:pPr>
      <w:rPr>
        <w:rFonts w:hint="default"/>
      </w:rPr>
    </w:lvl>
    <w:lvl w:ilvl="3" w:tplc="91722932">
      <w:numFmt w:val="bullet"/>
      <w:lvlText w:val="•"/>
      <w:lvlJc w:val="left"/>
      <w:pPr>
        <w:ind w:left="3072" w:hanging="179"/>
      </w:pPr>
      <w:rPr>
        <w:rFonts w:hint="default"/>
      </w:rPr>
    </w:lvl>
    <w:lvl w:ilvl="4" w:tplc="A8147ECA">
      <w:numFmt w:val="bullet"/>
      <w:lvlText w:val="•"/>
      <w:lvlJc w:val="left"/>
      <w:pPr>
        <w:ind w:left="4056" w:hanging="179"/>
      </w:pPr>
      <w:rPr>
        <w:rFonts w:hint="default"/>
      </w:rPr>
    </w:lvl>
    <w:lvl w:ilvl="5" w:tplc="6A107B22">
      <w:numFmt w:val="bullet"/>
      <w:lvlText w:val="•"/>
      <w:lvlJc w:val="left"/>
      <w:pPr>
        <w:ind w:left="5040" w:hanging="179"/>
      </w:pPr>
      <w:rPr>
        <w:rFonts w:hint="default"/>
      </w:rPr>
    </w:lvl>
    <w:lvl w:ilvl="6" w:tplc="62CED5CE">
      <w:numFmt w:val="bullet"/>
      <w:lvlText w:val="•"/>
      <w:lvlJc w:val="left"/>
      <w:pPr>
        <w:ind w:left="6024" w:hanging="179"/>
      </w:pPr>
      <w:rPr>
        <w:rFonts w:hint="default"/>
      </w:rPr>
    </w:lvl>
    <w:lvl w:ilvl="7" w:tplc="FE3257EE">
      <w:numFmt w:val="bullet"/>
      <w:lvlText w:val="•"/>
      <w:lvlJc w:val="left"/>
      <w:pPr>
        <w:ind w:left="7008" w:hanging="179"/>
      </w:pPr>
      <w:rPr>
        <w:rFonts w:hint="default"/>
      </w:rPr>
    </w:lvl>
    <w:lvl w:ilvl="8" w:tplc="A588BF10">
      <w:numFmt w:val="bullet"/>
      <w:lvlText w:val="•"/>
      <w:lvlJc w:val="left"/>
      <w:pPr>
        <w:ind w:left="7992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0D"/>
    <w:rsid w:val="001168C3"/>
    <w:rsid w:val="00422C31"/>
    <w:rsid w:val="00A1180D"/>
    <w:rsid w:val="00BA6617"/>
    <w:rsid w:val="00C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110"/>
  <w15:docId w15:val="{E794AAF7-A8B4-480C-B293-AB17A71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9"/>
      <w:ind w:left="119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0029157.2018.1400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Attention Deficit Hyperactivity and Misconceptions about Treatments revised - ACFrOgCIcQXMKjWSAef-auG3W6tr1GQX</dc:title>
  <dc:creator>Hi ho Hi ho</dc:creator>
  <cp:lastModifiedBy>Sandi Cardaman</cp:lastModifiedBy>
  <cp:revision>5</cp:revision>
  <dcterms:created xsi:type="dcterms:W3CDTF">2020-08-05T19:22:00Z</dcterms:created>
  <dcterms:modified xsi:type="dcterms:W3CDTF">2021-06-01T19:27:00Z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