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7DB8CFE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1CC71DF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B393BD3" w14:textId="77777777" w:rsidR="002946C7" w:rsidRDefault="008B72A4">
            <w:pPr>
              <w:pStyle w:val="ECVNameField"/>
            </w:pPr>
            <w:r>
              <w:t>Patrick Bunton</w:t>
            </w:r>
          </w:p>
        </w:tc>
      </w:tr>
      <w:tr w:rsidR="002946C7" w14:paraId="0EBA81B2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60C3E30" w14:textId="4C74572D" w:rsidR="002946C7" w:rsidRDefault="002946C7">
            <w:pPr>
              <w:pStyle w:val="ECVComments"/>
            </w:pPr>
          </w:p>
        </w:tc>
      </w:tr>
      <w:tr w:rsidR="002946C7" w14:paraId="44D55FD0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40E3D5E" w14:textId="7B0A1DC9" w:rsidR="002946C7" w:rsidRDefault="00125140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4E25A36D" wp14:editId="54E1EC59">
                  <wp:extent cx="919994" cy="128912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335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3" cy="136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5154FF5C" w14:textId="77777777" w:rsidR="002946C7" w:rsidRDefault="0078246F" w:rsidP="008B72A4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 wp14:anchorId="6DD0CD19" wp14:editId="7E591B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8B72A4">
              <w:t>Valley View, St Julians Road, Shoscombe, Bath, BA2 8NB</w:t>
            </w:r>
            <w:r w:rsidR="002946C7">
              <w:t xml:space="preserve"> </w:t>
            </w:r>
          </w:p>
        </w:tc>
      </w:tr>
      <w:tr w:rsidR="002946C7" w14:paraId="3F1BC80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8C97DE9" w14:textId="77777777" w:rsidR="002946C7" w:rsidRDefault="002946C7"/>
        </w:tc>
        <w:tc>
          <w:tcPr>
            <w:tcW w:w="7541" w:type="dxa"/>
            <w:shd w:val="clear" w:color="auto" w:fill="auto"/>
          </w:tcPr>
          <w:p w14:paraId="74F03B31" w14:textId="78B0DCA7" w:rsidR="002946C7" w:rsidRDefault="0078246F" w:rsidP="0078246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 wp14:anchorId="3B700CB4" wp14:editId="54A431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C4378B">
              <w:rPr>
                <w:rStyle w:val="ECVContactDetails"/>
              </w:rPr>
              <w:t>01761 439087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3A1677B6" wp14:editId="0AFB417C">
                  <wp:extent cx="128905" cy="128905"/>
                  <wp:effectExtent l="1905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>
              <w:t>07</w:t>
            </w:r>
            <w:r w:rsidR="009046B1">
              <w:t>9</w:t>
            </w:r>
            <w:r w:rsidR="00C4378B">
              <w:t>6</w:t>
            </w:r>
            <w:r w:rsidR="009046B1">
              <w:t>3</w:t>
            </w:r>
            <w:r w:rsidR="00C4378B">
              <w:t xml:space="preserve"> 312044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 w14:paraId="7376B35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7D6814D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6B2B33FF" w14:textId="77777777" w:rsidR="002946C7" w:rsidRDefault="0078246F" w:rsidP="008B72A4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 wp14:anchorId="640BE6A5" wp14:editId="379C35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C4378B">
              <w:rPr>
                <w:rStyle w:val="ECVInternetLink"/>
              </w:rPr>
              <w:t>patbunton1@gmail.com</w:t>
            </w:r>
            <w:r w:rsidR="002946C7">
              <w:t xml:space="preserve"> </w:t>
            </w:r>
          </w:p>
        </w:tc>
      </w:tr>
      <w:tr w:rsidR="002946C7" w14:paraId="089156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BCB44F6" w14:textId="77777777" w:rsidR="002946C7" w:rsidRDefault="002946C7"/>
        </w:tc>
        <w:tc>
          <w:tcPr>
            <w:tcW w:w="7541" w:type="dxa"/>
            <w:shd w:val="clear" w:color="auto" w:fill="auto"/>
          </w:tcPr>
          <w:p w14:paraId="30214CF0" w14:textId="77777777" w:rsidR="002946C7" w:rsidRDefault="002946C7">
            <w:pPr>
              <w:pStyle w:val="ECVContactDetails0"/>
            </w:pPr>
          </w:p>
        </w:tc>
      </w:tr>
      <w:tr w:rsidR="002946C7" w14:paraId="610B46E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AA3BEA9" w14:textId="77777777" w:rsidR="002946C7" w:rsidRDefault="002946C7"/>
        </w:tc>
        <w:tc>
          <w:tcPr>
            <w:tcW w:w="7541" w:type="dxa"/>
            <w:shd w:val="clear" w:color="auto" w:fill="auto"/>
          </w:tcPr>
          <w:p w14:paraId="06D629B9" w14:textId="77777777" w:rsidR="002946C7" w:rsidRDefault="002946C7">
            <w:pPr>
              <w:pStyle w:val="ECVContactDetails0"/>
            </w:pPr>
          </w:p>
        </w:tc>
      </w:tr>
      <w:tr w:rsidR="002946C7" w14:paraId="3F866ED2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8AB8ADF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7FB5206" w14:textId="77777777" w:rsidR="002946C7" w:rsidRDefault="00DB3B62" w:rsidP="008B72A4">
            <w:pPr>
              <w:pStyle w:val="ECVGenderRow"/>
            </w:pPr>
            <w:r>
              <w:rPr>
                <w:rStyle w:val="ECVHeadingContactDetails"/>
              </w:rPr>
              <w:t>Gender</w:t>
            </w:r>
            <w:r>
              <w:t xml:space="preserve"> </w:t>
            </w:r>
            <w:proofErr w:type="gramStart"/>
            <w:r w:rsidR="008B72A4">
              <w:rPr>
                <w:rStyle w:val="ECVContactDetails"/>
              </w:rPr>
              <w:t>Male</w:t>
            </w:r>
            <w:r w:rsidR="00293995">
              <w:rPr>
                <w:rStyle w:val="ECVContactDetails"/>
              </w:rPr>
              <w:t xml:space="preserve"> </w:t>
            </w:r>
            <w:r w:rsidR="002946C7">
              <w:rPr>
                <w:rStyle w:val="ECVHeadingContactDetails"/>
              </w:rPr>
              <w:t xml:space="preserve"> Date</w:t>
            </w:r>
            <w:proofErr w:type="gramEnd"/>
            <w:r w:rsidR="002946C7">
              <w:rPr>
                <w:rStyle w:val="ECVHeadingContactDetails"/>
              </w:rPr>
              <w:t xml:space="preserve"> of birth</w:t>
            </w:r>
            <w:r w:rsidR="002946C7">
              <w:t xml:space="preserve"> </w:t>
            </w:r>
            <w:r w:rsidR="008B72A4" w:rsidRPr="008B72A4">
              <w:rPr>
                <w:color w:val="3F3A38"/>
                <w:sz w:val="18"/>
                <w:szCs w:val="18"/>
              </w:rPr>
              <w:t>20/11/1967</w:t>
            </w:r>
            <w:r w:rsidR="008B72A4">
              <w:rPr>
                <w:color w:val="3F3A38"/>
                <w:sz w:val="18"/>
                <w:szCs w:val="18"/>
              </w:rPr>
              <w:t xml:space="preserve"> </w:t>
            </w:r>
            <w:r w:rsidR="002946C7">
              <w:rPr>
                <w:rStyle w:val="ECVHeadingContactDetails"/>
              </w:rPr>
              <w:t xml:space="preserve"> Nationality</w:t>
            </w:r>
            <w:r w:rsidR="002946C7">
              <w:t xml:space="preserve"> </w:t>
            </w:r>
            <w:r w:rsidR="008B72A4">
              <w:t xml:space="preserve"> </w:t>
            </w:r>
            <w:r w:rsidR="008B72A4" w:rsidRPr="008B72A4">
              <w:rPr>
                <w:color w:val="3F3A38"/>
                <w:sz w:val="18"/>
                <w:szCs w:val="18"/>
              </w:rPr>
              <w:t>British</w:t>
            </w:r>
            <w:r w:rsidR="002946C7">
              <w:t xml:space="preserve"> </w:t>
            </w:r>
          </w:p>
        </w:tc>
      </w:tr>
    </w:tbl>
    <w:p w14:paraId="23564270" w14:textId="77777777" w:rsidR="002946C7" w:rsidRDefault="002946C7">
      <w:pPr>
        <w:pStyle w:val="ECVText"/>
      </w:pPr>
    </w:p>
    <w:p w14:paraId="3F3F757D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5AA889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08B1C19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3C19CD5" w14:textId="77777777" w:rsidR="002946C7" w:rsidRDefault="0078246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EB9E571" wp14:editId="3CA41A42">
                  <wp:extent cx="4781550" cy="9080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5A472647" w14:textId="77777777" w:rsidR="002946C7" w:rsidRPr="00B60DB6" w:rsidRDefault="002946C7">
      <w:pPr>
        <w:pStyle w:val="ECVComments"/>
        <w:rPr>
          <w:color w:val="0E4194"/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046B1" w:rsidRPr="00B60DB6" w14:paraId="4A43500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215115A" w14:textId="77777777" w:rsidR="00CE4406" w:rsidRPr="00CE4406" w:rsidRDefault="00CE4406" w:rsidP="00B60DB6">
            <w:pPr>
              <w:pStyle w:val="ECVDate"/>
              <w:ind w:left="709"/>
              <w:jc w:val="left"/>
              <w:rPr>
                <w:szCs w:val="18"/>
              </w:rPr>
            </w:pPr>
          </w:p>
          <w:p w14:paraId="6BC76DDA" w14:textId="5E53C2AA" w:rsidR="00CE4406" w:rsidRPr="00CE4406" w:rsidRDefault="00CE4406" w:rsidP="00B60DB6">
            <w:pPr>
              <w:pStyle w:val="ECVDate"/>
              <w:ind w:left="709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April 2020 to </w:t>
            </w:r>
            <w:r w:rsidR="00407D9D">
              <w:rPr>
                <w:szCs w:val="18"/>
              </w:rPr>
              <w:t>present</w:t>
            </w:r>
          </w:p>
          <w:p w14:paraId="6F3CD925" w14:textId="77777777" w:rsidR="00CE4406" w:rsidRPr="00CE4406" w:rsidRDefault="00CE4406" w:rsidP="00B60DB6">
            <w:pPr>
              <w:pStyle w:val="ECVDate"/>
              <w:ind w:left="709"/>
              <w:jc w:val="left"/>
              <w:rPr>
                <w:szCs w:val="18"/>
              </w:rPr>
            </w:pPr>
          </w:p>
          <w:p w14:paraId="1360287D" w14:textId="77777777" w:rsidR="00CE4406" w:rsidRPr="00CE4406" w:rsidRDefault="00CE4406" w:rsidP="00CE4406">
            <w:pPr>
              <w:pStyle w:val="ECVDate"/>
              <w:jc w:val="left"/>
              <w:rPr>
                <w:szCs w:val="18"/>
              </w:rPr>
            </w:pPr>
          </w:p>
          <w:p w14:paraId="6DE84FF2" w14:textId="77777777" w:rsidR="00407D9D" w:rsidRPr="00AB3BFB" w:rsidRDefault="00407D9D" w:rsidP="00407D9D">
            <w:pPr>
              <w:pStyle w:val="ECVDate"/>
              <w:jc w:val="left"/>
              <w:rPr>
                <w:sz w:val="24"/>
              </w:rPr>
            </w:pPr>
          </w:p>
          <w:p w14:paraId="7C199D12" w14:textId="04C753D9" w:rsidR="009046B1" w:rsidRDefault="00B60DB6" w:rsidP="00B60DB6">
            <w:pPr>
              <w:pStyle w:val="ECVDate"/>
              <w:ind w:left="709"/>
              <w:jc w:val="left"/>
            </w:pPr>
            <w:r>
              <w:t>June 2019 to present</w:t>
            </w:r>
          </w:p>
          <w:p w14:paraId="63CFBF66" w14:textId="77777777" w:rsidR="00B60DB6" w:rsidRDefault="00B60DB6" w:rsidP="009046B1">
            <w:pPr>
              <w:pStyle w:val="ECVDate"/>
              <w:jc w:val="center"/>
            </w:pPr>
          </w:p>
          <w:p w14:paraId="4F10DD8C" w14:textId="77777777" w:rsidR="00B60DB6" w:rsidRDefault="00B60DB6" w:rsidP="00B60DB6">
            <w:pPr>
              <w:pStyle w:val="ECVDate"/>
              <w:ind w:left="709"/>
              <w:jc w:val="left"/>
            </w:pPr>
          </w:p>
          <w:p w14:paraId="55101874" w14:textId="77777777" w:rsidR="00B60DB6" w:rsidRDefault="00B60DB6" w:rsidP="00B60DB6">
            <w:pPr>
              <w:pStyle w:val="ECVDate"/>
              <w:ind w:left="709"/>
              <w:jc w:val="left"/>
            </w:pPr>
          </w:p>
          <w:p w14:paraId="28ABBCA8" w14:textId="77777777" w:rsidR="00CE4406" w:rsidRPr="00AB3BFB" w:rsidRDefault="00CE4406" w:rsidP="00AB3BFB">
            <w:pPr>
              <w:pStyle w:val="ECVDate"/>
              <w:jc w:val="left"/>
              <w:rPr>
                <w:sz w:val="20"/>
                <w:szCs w:val="20"/>
              </w:rPr>
            </w:pPr>
          </w:p>
          <w:p w14:paraId="7DABB24C" w14:textId="525BD94A" w:rsidR="009046B1" w:rsidRDefault="009046B1" w:rsidP="00B60DB6">
            <w:pPr>
              <w:pStyle w:val="ECVDate"/>
              <w:ind w:left="709"/>
              <w:jc w:val="left"/>
            </w:pPr>
            <w:r>
              <w:t xml:space="preserve">April 1993 to Jan 2018 </w:t>
            </w:r>
          </w:p>
          <w:p w14:paraId="769463AE" w14:textId="3EE40A11" w:rsidR="009046B1" w:rsidRDefault="009046B1" w:rsidP="009046B1">
            <w:pPr>
              <w:pStyle w:val="ECVDate"/>
              <w:jc w:val="center"/>
            </w:pPr>
            <w:r>
              <w:t xml:space="preserve">   (then Consultancy until 5 September 2018)</w:t>
            </w:r>
          </w:p>
        </w:tc>
        <w:tc>
          <w:tcPr>
            <w:tcW w:w="7541" w:type="dxa"/>
            <w:shd w:val="clear" w:color="auto" w:fill="auto"/>
          </w:tcPr>
          <w:p w14:paraId="5D200CDC" w14:textId="77777777" w:rsidR="00CE4406" w:rsidRPr="00CE4406" w:rsidRDefault="00CE4406" w:rsidP="00EB5D91">
            <w:pPr>
              <w:rPr>
                <w:sz w:val="18"/>
                <w:szCs w:val="18"/>
              </w:rPr>
            </w:pPr>
          </w:p>
          <w:p w14:paraId="7A1B4976" w14:textId="0C0223F8" w:rsidR="00CE4406" w:rsidRDefault="00CE4406" w:rsidP="00EB5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Director</w:t>
            </w:r>
            <w:r w:rsidR="00407D9D">
              <w:rPr>
                <w:sz w:val="18"/>
                <w:szCs w:val="18"/>
              </w:rPr>
              <w:t xml:space="preserve"> with full </w:t>
            </w:r>
            <w:r w:rsidR="00407D9D" w:rsidRPr="00407D9D">
              <w:rPr>
                <w:sz w:val="18"/>
                <w:szCs w:val="18"/>
              </w:rPr>
              <w:t xml:space="preserve">responsibility for all of </w:t>
            </w:r>
            <w:proofErr w:type="spellStart"/>
            <w:r w:rsidR="00407D9D" w:rsidRPr="00407D9D">
              <w:rPr>
                <w:sz w:val="18"/>
                <w:szCs w:val="18"/>
              </w:rPr>
              <w:t>LiveMore’s</w:t>
            </w:r>
            <w:proofErr w:type="spellEnd"/>
            <w:r w:rsidR="00407D9D" w:rsidRPr="00407D9D">
              <w:rPr>
                <w:sz w:val="18"/>
                <w:szCs w:val="18"/>
              </w:rPr>
              <w:t xml:space="preserve"> sales and marketing activities, including both the sales and marketing teams, as well as being a significant contributor to </w:t>
            </w:r>
            <w:proofErr w:type="spellStart"/>
            <w:r w:rsidR="00407D9D" w:rsidRPr="00407D9D">
              <w:rPr>
                <w:sz w:val="18"/>
                <w:szCs w:val="18"/>
              </w:rPr>
              <w:t>LiveMore’s</w:t>
            </w:r>
            <w:proofErr w:type="spellEnd"/>
            <w:r w:rsidR="00407D9D" w:rsidRPr="00407D9D">
              <w:rPr>
                <w:sz w:val="18"/>
                <w:szCs w:val="18"/>
              </w:rPr>
              <w:t xml:space="preserve"> </w:t>
            </w:r>
            <w:r w:rsidR="00407D9D">
              <w:rPr>
                <w:sz w:val="18"/>
                <w:szCs w:val="18"/>
              </w:rPr>
              <w:t xml:space="preserve">intermediary facing </w:t>
            </w:r>
            <w:r w:rsidR="00407D9D" w:rsidRPr="00407D9D">
              <w:rPr>
                <w:sz w:val="18"/>
                <w:szCs w:val="18"/>
              </w:rPr>
              <w:t xml:space="preserve">technology platform. </w:t>
            </w:r>
            <w:r w:rsidR="00407D9D">
              <w:rPr>
                <w:sz w:val="18"/>
                <w:szCs w:val="18"/>
              </w:rPr>
              <w:t xml:space="preserve">This followed on from an initial consultancy contract with </w:t>
            </w:r>
            <w:proofErr w:type="spellStart"/>
            <w:r w:rsidR="00407D9D">
              <w:rPr>
                <w:sz w:val="18"/>
                <w:szCs w:val="18"/>
              </w:rPr>
              <w:t>Livemore</w:t>
            </w:r>
            <w:proofErr w:type="spellEnd"/>
            <w:r w:rsidR="00407D9D">
              <w:rPr>
                <w:sz w:val="18"/>
                <w:szCs w:val="18"/>
              </w:rPr>
              <w:t xml:space="preserve"> as they sought to obtain FCA approval and successfully launch</w:t>
            </w:r>
            <w:r w:rsidR="004D702D">
              <w:rPr>
                <w:sz w:val="18"/>
                <w:szCs w:val="18"/>
              </w:rPr>
              <w:t>ed</w:t>
            </w:r>
            <w:r w:rsidR="00407D9D">
              <w:rPr>
                <w:sz w:val="18"/>
                <w:szCs w:val="18"/>
              </w:rPr>
              <w:t xml:space="preserve"> to market in July 2020. </w:t>
            </w:r>
          </w:p>
          <w:p w14:paraId="146C05E8" w14:textId="77777777" w:rsidR="00AB3BFB" w:rsidRDefault="00AB3BFB" w:rsidP="00407D9D">
            <w:pPr>
              <w:rPr>
                <w:sz w:val="18"/>
              </w:rPr>
            </w:pPr>
          </w:p>
          <w:p w14:paraId="69882686" w14:textId="3D878E54" w:rsidR="009046B1" w:rsidRPr="00407D9D" w:rsidRDefault="00B60DB6" w:rsidP="00407D9D">
            <w:pPr>
              <w:rPr>
                <w:rFonts w:ascii="Times" w:eastAsia="Times New Roman" w:hAnsi="Times" w:cs="Times New Roman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B60DB6">
              <w:rPr>
                <w:sz w:val="18"/>
              </w:rPr>
              <w:t xml:space="preserve">Adviser </w:t>
            </w:r>
            <w:r w:rsidR="007C762E">
              <w:rPr>
                <w:sz w:val="18"/>
              </w:rPr>
              <w:t xml:space="preserve">(NED designate) </w:t>
            </w:r>
            <w:r w:rsidRPr="00B60DB6">
              <w:rPr>
                <w:sz w:val="18"/>
              </w:rPr>
              <w:t xml:space="preserve">to </w:t>
            </w:r>
            <w:proofErr w:type="spellStart"/>
            <w:r w:rsidRPr="00B60DB6">
              <w:rPr>
                <w:sz w:val="18"/>
              </w:rPr>
              <w:t>Ahauz</w:t>
            </w:r>
            <w:proofErr w:type="spellEnd"/>
            <w:r w:rsidRPr="00B60DB6">
              <w:rPr>
                <w:sz w:val="18"/>
              </w:rPr>
              <w:t xml:space="preserve"> Ltd</w:t>
            </w:r>
            <w:r w:rsidR="00EB5D91">
              <w:rPr>
                <w:sz w:val="18"/>
              </w:rPr>
              <w:t xml:space="preserve"> </w:t>
            </w:r>
            <w:hyperlink r:id="rId14" w:history="1">
              <w:r w:rsidR="00EB5D91" w:rsidRPr="00EB5D91">
                <w:rPr>
                  <w:rFonts w:ascii="Times" w:eastAsia="Times New Roman" w:hAnsi="Times" w:cs="Times New Roman"/>
                  <w:color w:val="000080"/>
                  <w:spacing w:val="0"/>
                  <w:kern w:val="0"/>
                  <w:sz w:val="20"/>
                  <w:szCs w:val="20"/>
                  <w:u w:val="single"/>
                  <w:lang w:eastAsia="en-US" w:bidi="ar-SA"/>
                </w:rPr>
                <w:t>https://ahauz.com/</w:t>
              </w:r>
            </w:hyperlink>
          </w:p>
          <w:p w14:paraId="3558ECF9" w14:textId="0399E6ED" w:rsidR="00CE4406" w:rsidRDefault="00B60DB6" w:rsidP="00CE4406">
            <w:pPr>
              <w:pStyle w:val="ECVOrganisationDetails"/>
            </w:pPr>
            <w:r w:rsidRPr="00B60DB6">
              <w:t xml:space="preserve">A Venture Capital </w:t>
            </w:r>
            <w:r w:rsidR="00EB5D91">
              <w:t xml:space="preserve">(Forward Partners) </w:t>
            </w:r>
            <w:r w:rsidRPr="00B60DB6">
              <w:t xml:space="preserve">funded start up looking to introduce a new </w:t>
            </w:r>
            <w:r w:rsidR="00EB5D91">
              <w:t xml:space="preserve">equity </w:t>
            </w:r>
            <w:r w:rsidR="00CE4406">
              <w:t xml:space="preserve">share </w:t>
            </w:r>
            <w:r w:rsidR="00EB5D91">
              <w:t>loan facility into the UK</w:t>
            </w:r>
            <w:r w:rsidR="004E1A79">
              <w:t xml:space="preserve"> residential mortgage m</w:t>
            </w:r>
            <w:r w:rsidRPr="00B60DB6">
              <w:t>arket</w:t>
            </w:r>
            <w:r w:rsidR="007C762E">
              <w:t xml:space="preserve">. </w:t>
            </w:r>
            <w:r w:rsidR="00CE4406">
              <w:t>Help</w:t>
            </w:r>
            <w:r w:rsidR="004D702D">
              <w:t>ing</w:t>
            </w:r>
            <w:r w:rsidR="00CE4406">
              <w:t xml:space="preserve"> the business through the</w:t>
            </w:r>
            <w:r w:rsidR="007C762E">
              <w:t xml:space="preserve"> </w:t>
            </w:r>
            <w:proofErr w:type="gramStart"/>
            <w:r w:rsidR="007C762E">
              <w:t xml:space="preserve">FCA </w:t>
            </w:r>
            <w:r w:rsidR="00CE4406">
              <w:t xml:space="preserve"> </w:t>
            </w:r>
            <w:r w:rsidR="007C762E">
              <w:t>Authorisation</w:t>
            </w:r>
            <w:proofErr w:type="gramEnd"/>
            <w:r w:rsidR="007C762E">
              <w:t xml:space="preserve"> </w:t>
            </w:r>
            <w:r w:rsidR="00CE4406">
              <w:t xml:space="preserve">process and upon </w:t>
            </w:r>
            <w:r w:rsidR="004D702D">
              <w:t xml:space="preserve">successful </w:t>
            </w:r>
            <w:r w:rsidR="00CE4406">
              <w:t xml:space="preserve">authorisation will be </w:t>
            </w:r>
            <w:r w:rsidR="004D702D">
              <w:t>a</w:t>
            </w:r>
            <w:r w:rsidR="00CE4406">
              <w:t xml:space="preserve"> </w:t>
            </w:r>
            <w:r w:rsidR="007C762E">
              <w:t>NED.</w:t>
            </w:r>
          </w:p>
          <w:p w14:paraId="0B10C97E" w14:textId="77777777" w:rsidR="00CE4406" w:rsidRDefault="00CE4406" w:rsidP="009046B1">
            <w:pPr>
              <w:pStyle w:val="ECVSubSectionHeading"/>
              <w:rPr>
                <w:sz w:val="18"/>
              </w:rPr>
            </w:pPr>
          </w:p>
          <w:p w14:paraId="35C10E03" w14:textId="2F87E2B3" w:rsidR="009046B1" w:rsidRPr="00B60DB6" w:rsidRDefault="009046B1" w:rsidP="009046B1">
            <w:pPr>
              <w:pStyle w:val="ECVSubSectionHeading"/>
              <w:rPr>
                <w:sz w:val="18"/>
              </w:rPr>
            </w:pPr>
            <w:r w:rsidRPr="00B60DB6">
              <w:rPr>
                <w:sz w:val="18"/>
              </w:rPr>
              <w:t>Operations &amp; Compliance Director</w:t>
            </w:r>
          </w:p>
        </w:tc>
      </w:tr>
      <w:tr w:rsidR="009046B1" w14:paraId="7C91D40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362B6BA" w14:textId="654D9D6A" w:rsidR="009046B1" w:rsidRDefault="009046B1" w:rsidP="009046B1"/>
        </w:tc>
        <w:tc>
          <w:tcPr>
            <w:tcW w:w="7541" w:type="dxa"/>
            <w:shd w:val="clear" w:color="auto" w:fill="auto"/>
          </w:tcPr>
          <w:p w14:paraId="26A9449E" w14:textId="26BACBF0" w:rsidR="009046B1" w:rsidRDefault="009046B1" w:rsidP="009046B1">
            <w:pPr>
              <w:pStyle w:val="ECVOrganisationDetails"/>
            </w:pPr>
            <w:r>
              <w:t>London &amp; Country Mortgages Ltd (L&amp;C)</w:t>
            </w:r>
          </w:p>
          <w:p w14:paraId="61D32726" w14:textId="46BA1CBE" w:rsidR="009046B1" w:rsidRPr="00841F40" w:rsidRDefault="009046B1" w:rsidP="009046B1">
            <w:pPr>
              <w:pStyle w:val="ECVOrganisationDetails"/>
              <w:rPr>
                <w:color w:val="000080"/>
                <w:u w:val="single"/>
              </w:rPr>
            </w:pPr>
            <w:r w:rsidRPr="00841F40">
              <w:rPr>
                <w:rStyle w:val="Hyperlink"/>
              </w:rPr>
              <w:t>www</w:t>
            </w:r>
            <w:r>
              <w:rPr>
                <w:rStyle w:val="Hyperlink"/>
              </w:rPr>
              <w:t>.landc.co.uk</w:t>
            </w:r>
          </w:p>
        </w:tc>
      </w:tr>
      <w:tr w:rsidR="009046B1" w14:paraId="53D11AF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17F76EC" w14:textId="77777777" w:rsidR="009046B1" w:rsidRDefault="009046B1" w:rsidP="009046B1"/>
        </w:tc>
        <w:tc>
          <w:tcPr>
            <w:tcW w:w="7541" w:type="dxa"/>
            <w:shd w:val="clear" w:color="auto" w:fill="auto"/>
          </w:tcPr>
          <w:p w14:paraId="1201EAB8" w14:textId="4357F6B0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Main Board Director (CF1 from 19/5/2003 – 18/1/2018)</w:t>
            </w:r>
          </w:p>
          <w:p w14:paraId="6E96440C" w14:textId="05F6D458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 xml:space="preserve">Chaired </w:t>
            </w:r>
            <w:r w:rsidR="007C762E">
              <w:t xml:space="preserve">main </w:t>
            </w:r>
            <w:r>
              <w:t xml:space="preserve">Board </w:t>
            </w:r>
            <w:proofErr w:type="gramStart"/>
            <w:r>
              <w:t>Meetings  from</w:t>
            </w:r>
            <w:proofErr w:type="gramEnd"/>
            <w:r>
              <w:t xml:space="preserve"> 200</w:t>
            </w:r>
            <w:r w:rsidR="007C762E">
              <w:t>1</w:t>
            </w:r>
            <w:r>
              <w:t xml:space="preserve"> 2018</w:t>
            </w:r>
          </w:p>
          <w:p w14:paraId="15BD7656" w14:textId="7EEF23CF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Management and oversight of Compliance Functions (CF10 from 1/12/2001 – 18/1/2018)</w:t>
            </w:r>
          </w:p>
          <w:p w14:paraId="572F44A1" w14:textId="59C514BF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Responsibility for Insurance Mediation (CF from 14/1/2005 – 18/1/2018)</w:t>
            </w:r>
          </w:p>
          <w:p w14:paraId="78B9B7FA" w14:textId="0A351E0A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Responsibility for MCD Intermediation (21/3/2016 – 18/1/2018)</w:t>
            </w:r>
          </w:p>
          <w:p w14:paraId="207187C1" w14:textId="0C6F09B7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Management and oversight of IT</w:t>
            </w:r>
            <w:r w:rsidR="007C762E">
              <w:t xml:space="preserve"> &amp; </w:t>
            </w:r>
            <w:r>
              <w:t>Operations Functions</w:t>
            </w:r>
          </w:p>
          <w:p w14:paraId="3E71A7AB" w14:textId="77777777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 xml:space="preserve">Provision of Leadership and advice to all areas of the Business </w:t>
            </w:r>
          </w:p>
          <w:p w14:paraId="293A1993" w14:textId="77777777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Key driver of Corporate growth, Strategy and Planning</w:t>
            </w:r>
          </w:p>
          <w:p w14:paraId="34F3D6B3" w14:textId="77777777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A key driver of the Company’s Corporate Relationships</w:t>
            </w:r>
          </w:p>
          <w:p w14:paraId="098050A5" w14:textId="77777777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Press &amp; PR Spokesperson for the Company</w:t>
            </w:r>
          </w:p>
          <w:p w14:paraId="1AA28596" w14:textId="77777777" w:rsidR="009046B1" w:rsidRDefault="009046B1" w:rsidP="009046B1">
            <w:pPr>
              <w:pStyle w:val="ECVSectionBullet"/>
              <w:numPr>
                <w:ilvl w:val="0"/>
                <w:numId w:val="2"/>
              </w:numPr>
            </w:pPr>
            <w:r>
              <w:t>The Company’s contact point for all relevant Regulators</w:t>
            </w:r>
          </w:p>
          <w:p w14:paraId="67EB9572" w14:textId="77777777" w:rsidR="009046B1" w:rsidRDefault="009046B1" w:rsidP="009046B1">
            <w:pPr>
              <w:pStyle w:val="ECVSectionBullet"/>
              <w:ind w:left="113"/>
            </w:pPr>
          </w:p>
        </w:tc>
      </w:tr>
      <w:tr w:rsidR="009046B1" w14:paraId="172921D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8046CCB" w14:textId="77777777" w:rsidR="009046B1" w:rsidRDefault="009046B1" w:rsidP="009046B1"/>
        </w:tc>
        <w:tc>
          <w:tcPr>
            <w:tcW w:w="7541" w:type="dxa"/>
            <w:shd w:val="clear" w:color="auto" w:fill="auto"/>
            <w:vAlign w:val="bottom"/>
          </w:tcPr>
          <w:p w14:paraId="7CCE7345" w14:textId="4D900745" w:rsidR="009046B1" w:rsidRDefault="009046B1" w:rsidP="009046B1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Residential Mortgage &amp; Protection Intermediary Firm  </w:t>
            </w:r>
          </w:p>
        </w:tc>
      </w:tr>
    </w:tbl>
    <w:p w14:paraId="2005089C" w14:textId="77777777" w:rsidR="004440CD" w:rsidRPr="004440CD" w:rsidRDefault="004440CD" w:rsidP="004440CD">
      <w:pPr>
        <w:rPr>
          <w:caps/>
          <w:vanish/>
          <w:color w:val="0E4194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825A8" w14:paraId="38A87A05" w14:textId="77777777" w:rsidTr="00C02C02">
        <w:trPr>
          <w:trHeight w:val="170"/>
        </w:trPr>
        <w:tc>
          <w:tcPr>
            <w:tcW w:w="2835" w:type="dxa"/>
            <w:shd w:val="clear" w:color="auto" w:fill="auto"/>
          </w:tcPr>
          <w:p w14:paraId="7C27FCAB" w14:textId="77777777" w:rsidR="00B825A8" w:rsidRDefault="00B825A8" w:rsidP="00C02C02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5152E93" w14:textId="77777777" w:rsidR="00B825A8" w:rsidRDefault="0078246F" w:rsidP="00C02C0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E9039B4" wp14:editId="7E02A586">
                  <wp:extent cx="4781550" cy="90805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25A8">
              <w:t xml:space="preserve"> </w:t>
            </w:r>
          </w:p>
        </w:tc>
      </w:tr>
    </w:tbl>
    <w:p w14:paraId="325DE9A2" w14:textId="77777777" w:rsidR="008008F1" w:rsidRDefault="008008F1" w:rsidP="00B825A8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825A8" w14:paraId="7489A067" w14:textId="77777777" w:rsidTr="00C02C0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A3B75F5" w14:textId="77777777" w:rsidR="00B825A8" w:rsidRDefault="00C4378B" w:rsidP="00B60DB6">
            <w:pPr>
              <w:pStyle w:val="ECVDate"/>
            </w:pPr>
            <w:r>
              <w:t>January 2012 to January 2018</w:t>
            </w:r>
          </w:p>
          <w:p w14:paraId="57D8C132" w14:textId="1F544756" w:rsidR="009F0FF3" w:rsidRDefault="009F0FF3" w:rsidP="00C02C02">
            <w:pPr>
              <w:pStyle w:val="ECVDate"/>
            </w:pPr>
            <w:r>
              <w:t>(prior to that Deputy Chairman and Director</w:t>
            </w:r>
            <w:r w:rsidR="007C762E">
              <w:t xml:space="preserve"> since 2007</w:t>
            </w:r>
            <w:r>
              <w:t>)</w:t>
            </w:r>
          </w:p>
        </w:tc>
        <w:tc>
          <w:tcPr>
            <w:tcW w:w="7541" w:type="dxa"/>
            <w:shd w:val="clear" w:color="auto" w:fill="auto"/>
          </w:tcPr>
          <w:p w14:paraId="317870BC" w14:textId="77777777" w:rsidR="00B825A8" w:rsidRDefault="00B825A8" w:rsidP="00B825A8">
            <w:pPr>
              <w:pStyle w:val="ECVSubSectionHeading"/>
            </w:pPr>
            <w:r>
              <w:t xml:space="preserve">Chairman </w:t>
            </w:r>
          </w:p>
        </w:tc>
      </w:tr>
      <w:tr w:rsidR="00B825A8" w14:paraId="0D8D7C8B" w14:textId="77777777" w:rsidTr="00C02C02">
        <w:trPr>
          <w:cantSplit/>
        </w:trPr>
        <w:tc>
          <w:tcPr>
            <w:tcW w:w="2834" w:type="dxa"/>
            <w:vMerge/>
            <w:shd w:val="clear" w:color="auto" w:fill="auto"/>
          </w:tcPr>
          <w:p w14:paraId="5EDB93E4" w14:textId="77777777" w:rsidR="00B825A8" w:rsidRDefault="00B825A8" w:rsidP="00C02C02"/>
        </w:tc>
        <w:tc>
          <w:tcPr>
            <w:tcW w:w="7541" w:type="dxa"/>
            <w:shd w:val="clear" w:color="auto" w:fill="auto"/>
          </w:tcPr>
          <w:p w14:paraId="398F477B" w14:textId="255C172D" w:rsidR="008008F1" w:rsidRPr="008008F1" w:rsidRDefault="00B825A8" w:rsidP="008008F1">
            <w:pPr>
              <w:rPr>
                <w:rFonts w:eastAsia="ArialMT" w:cs="ArialMT"/>
                <w:sz w:val="18"/>
                <w:szCs w:val="18"/>
              </w:rPr>
            </w:pPr>
            <w:r w:rsidRPr="008008F1">
              <w:rPr>
                <w:rFonts w:eastAsia="ArialMT" w:cs="ArialMT"/>
                <w:sz w:val="18"/>
                <w:szCs w:val="18"/>
              </w:rPr>
              <w:t xml:space="preserve">Association of Mortgage Intermediaries </w:t>
            </w:r>
            <w:r w:rsidR="008008F1" w:rsidRPr="008008F1">
              <w:rPr>
                <w:rFonts w:eastAsia="ArialMT" w:cs="ArialMT"/>
                <w:sz w:val="18"/>
                <w:szCs w:val="18"/>
              </w:rPr>
              <w:t>(AMI)</w:t>
            </w:r>
          </w:p>
          <w:p w14:paraId="48B61D43" w14:textId="1E0F110A" w:rsidR="00B825A8" w:rsidRDefault="0045058D" w:rsidP="00C02C02">
            <w:pPr>
              <w:pStyle w:val="ECVOrganisationDetails"/>
            </w:pPr>
            <w:hyperlink r:id="rId15" w:history="1">
              <w:r w:rsidR="00841F40" w:rsidRPr="006A6C30">
                <w:rPr>
                  <w:rStyle w:val="Hyperlink"/>
                </w:rPr>
                <w:t>www.a-m-i.org.uk</w:t>
              </w:r>
            </w:hyperlink>
          </w:p>
        </w:tc>
      </w:tr>
      <w:tr w:rsidR="00B825A8" w14:paraId="0102C5F3" w14:textId="77777777" w:rsidTr="00C02C02">
        <w:trPr>
          <w:cantSplit/>
        </w:trPr>
        <w:tc>
          <w:tcPr>
            <w:tcW w:w="2834" w:type="dxa"/>
            <w:vMerge/>
            <w:shd w:val="clear" w:color="auto" w:fill="auto"/>
          </w:tcPr>
          <w:p w14:paraId="07EF94E0" w14:textId="77777777" w:rsidR="00B825A8" w:rsidRDefault="00B825A8" w:rsidP="00C02C02"/>
        </w:tc>
        <w:tc>
          <w:tcPr>
            <w:tcW w:w="7541" w:type="dxa"/>
            <w:shd w:val="clear" w:color="auto" w:fill="auto"/>
          </w:tcPr>
          <w:p w14:paraId="0D2F0795" w14:textId="2960812A" w:rsidR="008008F1" w:rsidRDefault="008008F1" w:rsidP="008008F1">
            <w:pPr>
              <w:pStyle w:val="ECVSectionBullet"/>
              <w:numPr>
                <w:ilvl w:val="0"/>
                <w:numId w:val="2"/>
              </w:numPr>
            </w:pPr>
            <w:r>
              <w:t>Chairing the Board of AMI</w:t>
            </w:r>
          </w:p>
          <w:p w14:paraId="60428710" w14:textId="77777777" w:rsidR="008008F1" w:rsidRDefault="008008F1" w:rsidP="008008F1">
            <w:pPr>
              <w:pStyle w:val="ECVSectionBullet"/>
              <w:numPr>
                <w:ilvl w:val="0"/>
                <w:numId w:val="2"/>
              </w:numPr>
            </w:pPr>
            <w:r>
              <w:t>Working with the Chi</w:t>
            </w:r>
            <w:r w:rsidR="003C0A06">
              <w:t>ef executive of AMI to lay out S</w:t>
            </w:r>
            <w:r>
              <w:t xml:space="preserve">trategy and Policy positions </w:t>
            </w:r>
          </w:p>
          <w:p w14:paraId="734469E5" w14:textId="77777777" w:rsidR="00B825A8" w:rsidRPr="008008F1" w:rsidRDefault="00402715" w:rsidP="008008F1">
            <w:pPr>
              <w:pStyle w:val="ECVSectionBullet"/>
              <w:numPr>
                <w:ilvl w:val="0"/>
                <w:numId w:val="2"/>
              </w:numPr>
            </w:pPr>
            <w:r>
              <w:t xml:space="preserve">Ensuring that </w:t>
            </w:r>
            <w:r w:rsidR="00B825A8" w:rsidRPr="008008F1">
              <w:t xml:space="preserve">AMI </w:t>
            </w:r>
            <w:r w:rsidR="003C0A06">
              <w:t>is positioned to best support</w:t>
            </w:r>
            <w:r w:rsidR="00B825A8" w:rsidRPr="008008F1">
              <w:t xml:space="preserve"> the professional mortgage intermediary </w:t>
            </w:r>
          </w:p>
          <w:p w14:paraId="229F646A" w14:textId="3C644A95" w:rsidR="00B825A8" w:rsidRPr="008008F1" w:rsidRDefault="00B825A8" w:rsidP="008008F1">
            <w:pPr>
              <w:pStyle w:val="ECVSectionBullet"/>
              <w:numPr>
                <w:ilvl w:val="0"/>
                <w:numId w:val="2"/>
              </w:numPr>
            </w:pPr>
            <w:proofErr w:type="gramStart"/>
            <w:r w:rsidRPr="008008F1">
              <w:t>Lobb</w:t>
            </w:r>
            <w:r w:rsidR="008008F1">
              <w:t>ying</w:t>
            </w:r>
            <w:r w:rsidRPr="008008F1">
              <w:t xml:space="preserve">  Treasury</w:t>
            </w:r>
            <w:proofErr w:type="gramEnd"/>
            <w:r w:rsidRPr="008008F1">
              <w:t>, F</w:t>
            </w:r>
            <w:r w:rsidR="00402715">
              <w:t>C</w:t>
            </w:r>
            <w:r w:rsidRPr="008008F1">
              <w:t>A,</w:t>
            </w:r>
            <w:r w:rsidR="00402715">
              <w:t xml:space="preserve"> G</w:t>
            </w:r>
            <w:r w:rsidRPr="008008F1">
              <w:t xml:space="preserve">overnment, </w:t>
            </w:r>
            <w:r w:rsidR="009F0FF3">
              <w:t xml:space="preserve">BoE &amp; </w:t>
            </w:r>
            <w:r w:rsidRPr="008008F1">
              <w:t>EU policymakers and other opinion formers</w:t>
            </w:r>
          </w:p>
          <w:p w14:paraId="57DBF17A" w14:textId="77777777" w:rsidR="00B825A8" w:rsidRPr="008008F1" w:rsidRDefault="00B825A8" w:rsidP="008008F1">
            <w:pPr>
              <w:pStyle w:val="ECVSectionBullet"/>
              <w:numPr>
                <w:ilvl w:val="0"/>
                <w:numId w:val="2"/>
              </w:numPr>
            </w:pPr>
            <w:proofErr w:type="gramStart"/>
            <w:r w:rsidRPr="008008F1">
              <w:t>Work</w:t>
            </w:r>
            <w:r w:rsidR="008008F1">
              <w:t>ing  t</w:t>
            </w:r>
            <w:r w:rsidRPr="008008F1">
              <w:t>o</w:t>
            </w:r>
            <w:proofErr w:type="gramEnd"/>
            <w:r w:rsidRPr="008008F1">
              <w:t xml:space="preserve"> help </w:t>
            </w:r>
            <w:r w:rsidR="008008F1">
              <w:t xml:space="preserve">ensure </w:t>
            </w:r>
            <w:r w:rsidRPr="008008F1">
              <w:t xml:space="preserve"> the regulatory </w:t>
            </w:r>
            <w:r w:rsidR="008008F1">
              <w:t>&amp;</w:t>
            </w:r>
            <w:r w:rsidRPr="008008F1">
              <w:t xml:space="preserve"> business environment is positive towards the intermediary.</w:t>
            </w:r>
          </w:p>
          <w:p w14:paraId="2BCBAD4A" w14:textId="77777777" w:rsidR="00B825A8" w:rsidRPr="008008F1" w:rsidRDefault="008008F1" w:rsidP="008008F1">
            <w:pPr>
              <w:pStyle w:val="ECVSectionBullet"/>
              <w:numPr>
                <w:ilvl w:val="0"/>
                <w:numId w:val="2"/>
              </w:numPr>
            </w:pPr>
            <w:r>
              <w:t xml:space="preserve">Playing an </w:t>
            </w:r>
            <w:r w:rsidR="00B825A8" w:rsidRPr="008008F1">
              <w:t>objective</w:t>
            </w:r>
            <w:r w:rsidR="00402715">
              <w:t>,</w:t>
            </w:r>
            <w:r w:rsidR="00B825A8" w:rsidRPr="008008F1">
              <w:t xml:space="preserve"> critical</w:t>
            </w:r>
            <w:r>
              <w:t>,</w:t>
            </w:r>
            <w:r w:rsidR="00B825A8" w:rsidRPr="008008F1">
              <w:t xml:space="preserve"> but constructive role within the mortgage regulation process – offering insights from the “front line” of the intermediary mortgage market. </w:t>
            </w:r>
          </w:p>
          <w:p w14:paraId="3FC3ACCD" w14:textId="77777777" w:rsidR="00B825A8" w:rsidRDefault="00B825A8" w:rsidP="008008F1">
            <w:pPr>
              <w:pStyle w:val="ECVSectionBullet"/>
              <w:numPr>
                <w:ilvl w:val="0"/>
                <w:numId w:val="2"/>
              </w:numPr>
            </w:pPr>
            <w:r w:rsidRPr="008008F1">
              <w:t>AMI is a non-commerc</w:t>
            </w:r>
            <w:r w:rsidR="00402715">
              <w:t>ial,</w:t>
            </w:r>
            <w:r w:rsidR="00F61471">
              <w:t xml:space="preserve"> not-for-profit trade body and</w:t>
            </w:r>
            <w:r w:rsidR="00402715">
              <w:t xml:space="preserve"> </w:t>
            </w:r>
            <w:r w:rsidRPr="008008F1">
              <w:t>exists solely to bring about a better business environment for our members</w:t>
            </w:r>
            <w:r w:rsidR="00402715">
              <w:t>,</w:t>
            </w:r>
            <w:r w:rsidRPr="008008F1">
              <w:t xml:space="preserve"> so they can best serve their clients.</w:t>
            </w:r>
          </w:p>
          <w:p w14:paraId="50C901CC" w14:textId="77777777" w:rsidR="00F61471" w:rsidRPr="008008F1" w:rsidRDefault="00F61471" w:rsidP="008008F1">
            <w:pPr>
              <w:pStyle w:val="ECVSectionBullet"/>
              <w:numPr>
                <w:ilvl w:val="0"/>
                <w:numId w:val="2"/>
              </w:numPr>
            </w:pPr>
            <w:r>
              <w:t xml:space="preserve">Oversight of the organisations Corporate Governance and Finance Functions </w:t>
            </w:r>
          </w:p>
          <w:p w14:paraId="4A56DA55" w14:textId="77777777" w:rsidR="00B825A8" w:rsidRDefault="00B825A8" w:rsidP="00C02C02">
            <w:pPr>
              <w:pStyle w:val="ECVSectionBullet"/>
              <w:ind w:left="113"/>
            </w:pPr>
          </w:p>
        </w:tc>
      </w:tr>
      <w:tr w:rsidR="00B825A8" w14:paraId="1DAB5B28" w14:textId="77777777" w:rsidTr="00C02C0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270B14D" w14:textId="77777777" w:rsidR="00B825A8" w:rsidRDefault="00B825A8" w:rsidP="00C02C02"/>
        </w:tc>
        <w:tc>
          <w:tcPr>
            <w:tcW w:w="7541" w:type="dxa"/>
            <w:shd w:val="clear" w:color="auto" w:fill="auto"/>
            <w:vAlign w:val="bottom"/>
          </w:tcPr>
          <w:p w14:paraId="184EAF64" w14:textId="77777777" w:rsidR="00B825A8" w:rsidRDefault="00B825A8" w:rsidP="008008F1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8008F1">
              <w:t>UK Trade Association - Representing the overwhelming majority of intermediaries in the UK</w:t>
            </w:r>
            <w:r>
              <w:t xml:space="preserve">  </w:t>
            </w:r>
          </w:p>
        </w:tc>
      </w:tr>
    </w:tbl>
    <w:p w14:paraId="51D4E07A" w14:textId="77777777" w:rsidR="004440CD" w:rsidRPr="004440CD" w:rsidRDefault="004440CD" w:rsidP="004440CD">
      <w:pPr>
        <w:rPr>
          <w:caps/>
          <w:vanish/>
          <w:color w:val="0E4194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E4229" w14:paraId="3BF825E0" w14:textId="77777777" w:rsidTr="00C02C02">
        <w:trPr>
          <w:trHeight w:val="170"/>
        </w:trPr>
        <w:tc>
          <w:tcPr>
            <w:tcW w:w="2835" w:type="dxa"/>
            <w:shd w:val="clear" w:color="auto" w:fill="auto"/>
          </w:tcPr>
          <w:p w14:paraId="6EB48514" w14:textId="77777777" w:rsidR="00CE4229" w:rsidRDefault="00CE4229" w:rsidP="00C02C02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E624B86" w14:textId="77777777" w:rsidR="00CE4229" w:rsidRDefault="0078246F" w:rsidP="00C02C0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4694FEB0" wp14:editId="5CFB8D43">
                  <wp:extent cx="4781550" cy="90805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229">
              <w:t xml:space="preserve"> </w:t>
            </w:r>
          </w:p>
        </w:tc>
      </w:tr>
    </w:tbl>
    <w:p w14:paraId="44784A74" w14:textId="03D1B129" w:rsidR="008F602C" w:rsidRDefault="008F602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008F1" w14:paraId="00331CAE" w14:textId="77777777" w:rsidTr="00C02C0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5F22042" w14:textId="77777777" w:rsidR="00CE4406" w:rsidRDefault="00CE4406" w:rsidP="008008F1">
            <w:pPr>
              <w:pStyle w:val="ECVDate"/>
            </w:pPr>
          </w:p>
          <w:p w14:paraId="5267C880" w14:textId="77777777" w:rsidR="00AB3BFB" w:rsidRPr="00AB3BFB" w:rsidRDefault="00AB3BFB" w:rsidP="008008F1">
            <w:pPr>
              <w:pStyle w:val="ECVDate"/>
              <w:rPr>
                <w:sz w:val="20"/>
                <w:szCs w:val="20"/>
              </w:rPr>
            </w:pPr>
          </w:p>
          <w:p w14:paraId="55CD1284" w14:textId="58F1E194" w:rsidR="008008F1" w:rsidRDefault="008008F1" w:rsidP="008008F1">
            <w:pPr>
              <w:pStyle w:val="ECVDate"/>
            </w:pPr>
            <w:r>
              <w:t>1990-1993</w:t>
            </w:r>
          </w:p>
        </w:tc>
        <w:tc>
          <w:tcPr>
            <w:tcW w:w="7541" w:type="dxa"/>
            <w:shd w:val="clear" w:color="auto" w:fill="auto"/>
          </w:tcPr>
          <w:p w14:paraId="3CC268EC" w14:textId="77777777" w:rsidR="00CE4406" w:rsidRDefault="00CE4406" w:rsidP="008008F1">
            <w:pPr>
              <w:pStyle w:val="ECVSubSectionHeading"/>
            </w:pPr>
          </w:p>
          <w:p w14:paraId="4266DBE3" w14:textId="77777777" w:rsidR="00AB3BFB" w:rsidRDefault="00AB3BFB" w:rsidP="008008F1">
            <w:pPr>
              <w:pStyle w:val="ECVSubSectionHeading"/>
            </w:pPr>
          </w:p>
          <w:p w14:paraId="374C2BA5" w14:textId="7283B941" w:rsidR="008008F1" w:rsidRDefault="008008F1" w:rsidP="008008F1">
            <w:pPr>
              <w:pStyle w:val="ECVSubSectionHeading"/>
            </w:pPr>
            <w:r>
              <w:t>Senior Residential Loan Executive</w:t>
            </w:r>
          </w:p>
        </w:tc>
      </w:tr>
      <w:tr w:rsidR="008008F1" w14:paraId="3F5EF54C" w14:textId="77777777" w:rsidTr="00C02C02">
        <w:trPr>
          <w:cantSplit/>
        </w:trPr>
        <w:tc>
          <w:tcPr>
            <w:tcW w:w="2834" w:type="dxa"/>
            <w:vMerge/>
            <w:shd w:val="clear" w:color="auto" w:fill="auto"/>
          </w:tcPr>
          <w:p w14:paraId="43DFFA7B" w14:textId="77777777" w:rsidR="008008F1" w:rsidRDefault="008008F1" w:rsidP="00C02C02"/>
        </w:tc>
        <w:tc>
          <w:tcPr>
            <w:tcW w:w="7541" w:type="dxa"/>
            <w:shd w:val="clear" w:color="auto" w:fill="auto"/>
          </w:tcPr>
          <w:p w14:paraId="02990E2A" w14:textId="7F0E753E" w:rsidR="008008F1" w:rsidRDefault="008008F1" w:rsidP="00C02C02">
            <w:pPr>
              <w:pStyle w:val="ECVOrganisationDetails"/>
            </w:pPr>
            <w:r>
              <w:t xml:space="preserve">UCB </w:t>
            </w:r>
            <w:proofErr w:type="spellStart"/>
            <w:r>
              <w:t>Homeloans</w:t>
            </w:r>
            <w:proofErr w:type="spellEnd"/>
            <w:r>
              <w:t xml:space="preserve"> Plc </w:t>
            </w:r>
          </w:p>
          <w:p w14:paraId="44C11C14" w14:textId="77777777" w:rsidR="008008F1" w:rsidRDefault="008008F1" w:rsidP="00C02C02">
            <w:pPr>
              <w:pStyle w:val="ECVOrganisationDetails"/>
            </w:pPr>
            <w:r w:rsidRPr="008008F1">
              <w:rPr>
                <w:rStyle w:val="Hyperlink"/>
              </w:rPr>
              <w:t>www.ucbhomeloans.co.uk</w:t>
            </w:r>
          </w:p>
        </w:tc>
      </w:tr>
      <w:tr w:rsidR="008008F1" w14:paraId="4332E68E" w14:textId="77777777" w:rsidTr="00C02C02">
        <w:trPr>
          <w:cantSplit/>
        </w:trPr>
        <w:tc>
          <w:tcPr>
            <w:tcW w:w="2834" w:type="dxa"/>
            <w:vMerge/>
            <w:shd w:val="clear" w:color="auto" w:fill="auto"/>
          </w:tcPr>
          <w:p w14:paraId="38F540C6" w14:textId="77777777" w:rsidR="008008F1" w:rsidRDefault="008008F1" w:rsidP="00C02C02"/>
        </w:tc>
        <w:tc>
          <w:tcPr>
            <w:tcW w:w="7541" w:type="dxa"/>
            <w:shd w:val="clear" w:color="auto" w:fill="auto"/>
          </w:tcPr>
          <w:p w14:paraId="33C2AF71" w14:textId="7F416430" w:rsidR="008008F1" w:rsidRDefault="008008F1" w:rsidP="00C02C02">
            <w:pPr>
              <w:pStyle w:val="ECVSectionBullet"/>
              <w:numPr>
                <w:ilvl w:val="0"/>
                <w:numId w:val="2"/>
              </w:numPr>
            </w:pPr>
            <w:r>
              <w:t>Responsible for all residential mortgage activity across the South West of England &amp; Wales</w:t>
            </w:r>
          </w:p>
          <w:p w14:paraId="0AAD7D40" w14:textId="348DE617" w:rsidR="007C762E" w:rsidRDefault="007C762E" w:rsidP="00C02C02">
            <w:pPr>
              <w:pStyle w:val="ECVSectionBullet"/>
              <w:numPr>
                <w:ilvl w:val="0"/>
                <w:numId w:val="2"/>
              </w:numPr>
            </w:pPr>
            <w:r>
              <w:t>Top performing Region in 1992</w:t>
            </w:r>
          </w:p>
          <w:p w14:paraId="4ED14EC7" w14:textId="77777777" w:rsidR="008008F1" w:rsidRDefault="008008F1" w:rsidP="00C02C02">
            <w:pPr>
              <w:pStyle w:val="ECVSectionBullet"/>
              <w:numPr>
                <w:ilvl w:val="0"/>
                <w:numId w:val="2"/>
              </w:numPr>
            </w:pPr>
            <w:r>
              <w:t xml:space="preserve">Liaison and business development with mortgage intermediaries </w:t>
            </w:r>
          </w:p>
          <w:p w14:paraId="4EC80222" w14:textId="77777777" w:rsidR="008008F1" w:rsidRDefault="00F61471" w:rsidP="00C02C02">
            <w:pPr>
              <w:pStyle w:val="ECVSectionBullet"/>
              <w:numPr>
                <w:ilvl w:val="0"/>
                <w:numId w:val="2"/>
              </w:numPr>
            </w:pPr>
            <w:r>
              <w:t xml:space="preserve">Sales </w:t>
            </w:r>
            <w:proofErr w:type="spellStart"/>
            <w:r>
              <w:t>mangement</w:t>
            </w:r>
            <w:proofErr w:type="spellEnd"/>
            <w:r>
              <w:t xml:space="preserve"> and</w:t>
            </w:r>
            <w:r w:rsidR="008008F1">
              <w:t xml:space="preserve"> management of resources to support lending function</w:t>
            </w:r>
          </w:p>
          <w:p w14:paraId="6A06A405" w14:textId="77777777" w:rsidR="008008F1" w:rsidRDefault="008008F1" w:rsidP="00C02C02">
            <w:pPr>
              <w:pStyle w:val="ECVSectionBullet"/>
              <w:numPr>
                <w:ilvl w:val="0"/>
                <w:numId w:val="2"/>
              </w:numPr>
            </w:pPr>
            <w:r>
              <w:t>Oversight of underwriting function</w:t>
            </w:r>
          </w:p>
          <w:p w14:paraId="1BCF5392" w14:textId="77777777" w:rsidR="008008F1" w:rsidRDefault="00CE4229" w:rsidP="00C02C02">
            <w:pPr>
              <w:pStyle w:val="ECVSectionBullet"/>
              <w:numPr>
                <w:ilvl w:val="0"/>
                <w:numId w:val="2"/>
              </w:numPr>
            </w:pPr>
            <w:r>
              <w:t>Assisted with</w:t>
            </w:r>
            <w:r w:rsidR="00402715">
              <w:t xml:space="preserve"> </w:t>
            </w:r>
            <w:r>
              <w:t>the design of new and sometimes innovative mortgage contracts</w:t>
            </w:r>
          </w:p>
          <w:p w14:paraId="7BC5D643" w14:textId="77777777" w:rsidR="00CE4229" w:rsidRDefault="00CE4229" w:rsidP="00C02C02">
            <w:pPr>
              <w:pStyle w:val="ECVSectionBullet"/>
              <w:numPr>
                <w:ilvl w:val="0"/>
                <w:numId w:val="2"/>
              </w:numPr>
            </w:pPr>
            <w:r>
              <w:t>Responsibility for the delinquency rates of non performing loans</w:t>
            </w:r>
          </w:p>
          <w:p w14:paraId="6FB9BA74" w14:textId="77777777" w:rsidR="008008F1" w:rsidRDefault="008008F1" w:rsidP="00C02C02">
            <w:pPr>
              <w:pStyle w:val="ECVSectionBullet"/>
              <w:ind w:left="113"/>
            </w:pPr>
          </w:p>
        </w:tc>
      </w:tr>
      <w:tr w:rsidR="008008F1" w14:paraId="090585E7" w14:textId="77777777" w:rsidTr="00C02C0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2C3BD84" w14:textId="77777777" w:rsidR="008008F1" w:rsidRDefault="008008F1" w:rsidP="00C02C02"/>
        </w:tc>
        <w:tc>
          <w:tcPr>
            <w:tcW w:w="7541" w:type="dxa"/>
            <w:shd w:val="clear" w:color="auto" w:fill="auto"/>
            <w:vAlign w:val="bottom"/>
          </w:tcPr>
          <w:p w14:paraId="7A4A21F4" w14:textId="77777777" w:rsidR="008008F1" w:rsidRDefault="008008F1" w:rsidP="00CE4229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CE4229">
              <w:t>Centralised Mortgage Lender</w:t>
            </w:r>
            <w:r>
              <w:t xml:space="preserve">  </w:t>
            </w:r>
          </w:p>
        </w:tc>
      </w:tr>
    </w:tbl>
    <w:p w14:paraId="33EEB6ED" w14:textId="77777777" w:rsidR="004440CD" w:rsidRPr="004440CD" w:rsidRDefault="004440CD" w:rsidP="004440CD">
      <w:pPr>
        <w:rPr>
          <w:caps/>
          <w:vanish/>
          <w:color w:val="0E4194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E4229" w14:paraId="65A22721" w14:textId="77777777" w:rsidTr="00C02C02">
        <w:trPr>
          <w:trHeight w:val="170"/>
        </w:trPr>
        <w:tc>
          <w:tcPr>
            <w:tcW w:w="2835" w:type="dxa"/>
            <w:shd w:val="clear" w:color="auto" w:fill="auto"/>
          </w:tcPr>
          <w:p w14:paraId="67EC6AED" w14:textId="77777777" w:rsidR="00CE4229" w:rsidRDefault="00CE4229" w:rsidP="00C02C02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73CEF537" w14:textId="77777777" w:rsidR="00CE4229" w:rsidRDefault="0078246F" w:rsidP="00C02C0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9672FB0" wp14:editId="469D3F70">
                  <wp:extent cx="4781550" cy="90805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229">
              <w:t xml:space="preserve"> </w:t>
            </w:r>
          </w:p>
        </w:tc>
      </w:tr>
    </w:tbl>
    <w:p w14:paraId="18C4096A" w14:textId="77777777" w:rsidR="00B825A8" w:rsidRDefault="00B825A8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E4229" w14:paraId="7D806006" w14:textId="77777777" w:rsidTr="00C02C0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A9D49E" w14:textId="77777777" w:rsidR="00CE4229" w:rsidRDefault="00CE4229" w:rsidP="00CE4229">
            <w:pPr>
              <w:pStyle w:val="ECVDate"/>
            </w:pPr>
            <w:r>
              <w:t>1985-1990</w:t>
            </w:r>
          </w:p>
        </w:tc>
        <w:tc>
          <w:tcPr>
            <w:tcW w:w="7541" w:type="dxa"/>
            <w:shd w:val="clear" w:color="auto" w:fill="auto"/>
          </w:tcPr>
          <w:p w14:paraId="154E7237" w14:textId="77777777" w:rsidR="00CE4229" w:rsidRDefault="00CE4229" w:rsidP="00C02C02">
            <w:pPr>
              <w:pStyle w:val="ECVSubSectionHeading"/>
            </w:pPr>
            <w:r>
              <w:t>Variety of Branch Based Management Roles</w:t>
            </w:r>
          </w:p>
        </w:tc>
      </w:tr>
      <w:tr w:rsidR="00CE4229" w14:paraId="72908D8E" w14:textId="77777777" w:rsidTr="00C02C02">
        <w:trPr>
          <w:cantSplit/>
        </w:trPr>
        <w:tc>
          <w:tcPr>
            <w:tcW w:w="2834" w:type="dxa"/>
            <w:vMerge/>
            <w:shd w:val="clear" w:color="auto" w:fill="auto"/>
          </w:tcPr>
          <w:p w14:paraId="40F0C14A" w14:textId="77777777" w:rsidR="00CE4229" w:rsidRDefault="00CE4229" w:rsidP="00C02C02"/>
        </w:tc>
        <w:tc>
          <w:tcPr>
            <w:tcW w:w="7541" w:type="dxa"/>
            <w:shd w:val="clear" w:color="auto" w:fill="auto"/>
          </w:tcPr>
          <w:p w14:paraId="6F33F824" w14:textId="68B4CD4C" w:rsidR="00CE4229" w:rsidRDefault="00CE4229" w:rsidP="00C02C02">
            <w:pPr>
              <w:pStyle w:val="ECVOrganisationDetails"/>
            </w:pPr>
            <w:r>
              <w:t xml:space="preserve">Britannia Building Society </w:t>
            </w:r>
          </w:p>
          <w:p w14:paraId="5EA4C7C4" w14:textId="7B34CD86" w:rsidR="00CE4229" w:rsidRPr="00AB3BFB" w:rsidRDefault="004626BC" w:rsidP="00C02C02">
            <w:pPr>
              <w:pStyle w:val="ECVOrganisationDetails"/>
              <w:rPr>
                <w:color w:val="000080"/>
                <w:u w:val="single"/>
              </w:rPr>
            </w:pPr>
            <w:r w:rsidRPr="00CE4229">
              <w:rPr>
                <w:rStyle w:val="Hyperlink"/>
              </w:rPr>
              <w:t>www.britannia.co.uk</w:t>
            </w:r>
          </w:p>
        </w:tc>
      </w:tr>
      <w:tr w:rsidR="00CE4229" w14:paraId="3ADEE82D" w14:textId="77777777" w:rsidTr="00C02C02">
        <w:trPr>
          <w:cantSplit/>
        </w:trPr>
        <w:tc>
          <w:tcPr>
            <w:tcW w:w="2834" w:type="dxa"/>
            <w:vMerge/>
            <w:shd w:val="clear" w:color="auto" w:fill="auto"/>
          </w:tcPr>
          <w:p w14:paraId="2E937B3F" w14:textId="77777777" w:rsidR="00CE4229" w:rsidRDefault="00CE4229" w:rsidP="00C02C02"/>
        </w:tc>
        <w:tc>
          <w:tcPr>
            <w:tcW w:w="7541" w:type="dxa"/>
            <w:shd w:val="clear" w:color="auto" w:fill="auto"/>
          </w:tcPr>
          <w:p w14:paraId="6AEBE0B3" w14:textId="77777777" w:rsidR="00CE4229" w:rsidRDefault="00CE4229" w:rsidP="00CE4229">
            <w:pPr>
              <w:pStyle w:val="ECVSectionBullet"/>
              <w:numPr>
                <w:ilvl w:val="0"/>
                <w:numId w:val="2"/>
              </w:numPr>
            </w:pPr>
            <w:r>
              <w:t>A</w:t>
            </w:r>
            <w:r w:rsidR="00F61471">
              <w:t xml:space="preserve"> variety of Branch Management r</w:t>
            </w:r>
            <w:r>
              <w:t>oles across the South West of England</w:t>
            </w:r>
          </w:p>
          <w:p w14:paraId="7618116F" w14:textId="42C0D5C6" w:rsidR="00CE4229" w:rsidRDefault="00CE4229" w:rsidP="00CE4229">
            <w:pPr>
              <w:pStyle w:val="ECVSectionBullet"/>
              <w:numPr>
                <w:ilvl w:val="0"/>
                <w:numId w:val="2"/>
              </w:numPr>
            </w:pPr>
            <w:r>
              <w:t>Responsibility for a Direct to Consumer Building Society Branch</w:t>
            </w:r>
          </w:p>
          <w:p w14:paraId="7AD5E976" w14:textId="4916C615" w:rsidR="007C762E" w:rsidRDefault="007C762E" w:rsidP="00CE4229">
            <w:pPr>
              <w:pStyle w:val="ECVSectionBullet"/>
              <w:numPr>
                <w:ilvl w:val="0"/>
                <w:numId w:val="2"/>
              </w:numPr>
            </w:pPr>
            <w:r>
              <w:t>Youngest Branch Manager grade person in the Society at the time (aged just 22)</w:t>
            </w:r>
          </w:p>
          <w:p w14:paraId="1461CA6F" w14:textId="77777777" w:rsidR="00CE4229" w:rsidRDefault="00CE4229" w:rsidP="00CE4229">
            <w:pPr>
              <w:pStyle w:val="ECVSectionBullet"/>
              <w:numPr>
                <w:ilvl w:val="0"/>
                <w:numId w:val="2"/>
              </w:numPr>
            </w:pPr>
            <w:r>
              <w:t xml:space="preserve">Oversight </w:t>
            </w:r>
            <w:r w:rsidR="003C0A06">
              <w:t xml:space="preserve">and management </w:t>
            </w:r>
            <w:r>
              <w:t>of all product areas within Branch – mortgage, investment, protection, credit cards, secured loan, unsecured loans, foreign currency etc</w:t>
            </w:r>
          </w:p>
          <w:p w14:paraId="069FC896" w14:textId="77777777" w:rsidR="00CE4229" w:rsidRDefault="00CE4229" w:rsidP="00CE4229">
            <w:pPr>
              <w:pStyle w:val="ECVSectionBullet"/>
              <w:ind w:left="113"/>
            </w:pPr>
          </w:p>
        </w:tc>
      </w:tr>
      <w:tr w:rsidR="00CE4229" w14:paraId="30894AB8" w14:textId="77777777" w:rsidTr="00C02C02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47DDD58" w14:textId="77777777" w:rsidR="00CE4229" w:rsidRDefault="00CE4229" w:rsidP="00C02C02"/>
        </w:tc>
        <w:tc>
          <w:tcPr>
            <w:tcW w:w="7541" w:type="dxa"/>
            <w:shd w:val="clear" w:color="auto" w:fill="auto"/>
            <w:vAlign w:val="bottom"/>
          </w:tcPr>
          <w:p w14:paraId="3BA12806" w14:textId="77777777" w:rsidR="00CE4229" w:rsidRDefault="00CE4229" w:rsidP="00CE4229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Building Society  </w:t>
            </w:r>
          </w:p>
        </w:tc>
      </w:tr>
    </w:tbl>
    <w:p w14:paraId="1E0434D6" w14:textId="77777777" w:rsidR="00B825A8" w:rsidRDefault="00B825A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620671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26BADDE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F9D300" w14:textId="77777777" w:rsidR="002946C7" w:rsidRDefault="0078246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99796FD" wp14:editId="67881F94">
                  <wp:extent cx="4781550" cy="9080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041EB645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1972B24A" w14:textId="77777777" w:rsidTr="0069398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943264C" w14:textId="77777777" w:rsidR="00693985" w:rsidRDefault="00693985">
            <w:pPr>
              <w:pStyle w:val="ECVDate"/>
            </w:pPr>
          </w:p>
          <w:p w14:paraId="1020F20D" w14:textId="77777777" w:rsidR="002946C7" w:rsidRDefault="002946C7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14:paraId="5AF2984A" w14:textId="77777777" w:rsidR="002946C7" w:rsidRDefault="00F0220F" w:rsidP="00402715">
            <w:pPr>
              <w:pStyle w:val="ECVSectionBullet"/>
              <w:numPr>
                <w:ilvl w:val="0"/>
                <w:numId w:val="2"/>
              </w:numPr>
            </w:pPr>
            <w:r>
              <w:t>Certificate of Regulated General Insurance – 28/02/2013</w:t>
            </w:r>
          </w:p>
          <w:p w14:paraId="27C9383C" w14:textId="77777777" w:rsidR="00F0220F" w:rsidRDefault="00F0220F" w:rsidP="00402715">
            <w:pPr>
              <w:pStyle w:val="ECVSectionBullet"/>
              <w:numPr>
                <w:ilvl w:val="0"/>
                <w:numId w:val="2"/>
              </w:numPr>
            </w:pPr>
            <w:r>
              <w:t>Diploma in Mortgage Advice &amp; Practice – 12/07/2012</w:t>
            </w:r>
          </w:p>
          <w:p w14:paraId="6D7F181B" w14:textId="77777777" w:rsidR="00F0220F" w:rsidRDefault="00F0220F" w:rsidP="00402715">
            <w:pPr>
              <w:pStyle w:val="ECVSectionBullet"/>
              <w:numPr>
                <w:ilvl w:val="0"/>
                <w:numId w:val="2"/>
              </w:numPr>
            </w:pPr>
            <w:r>
              <w:t>Advanced Certificate in Mortgage Advice &amp; Practice – 06/01/2009</w:t>
            </w:r>
          </w:p>
          <w:p w14:paraId="3FCCBA7F" w14:textId="77777777" w:rsidR="00F0220F" w:rsidRDefault="00F0220F" w:rsidP="00402715">
            <w:pPr>
              <w:pStyle w:val="ECVSectionBullet"/>
              <w:numPr>
                <w:ilvl w:val="0"/>
                <w:numId w:val="2"/>
              </w:numPr>
            </w:pPr>
            <w:r>
              <w:t>Financial Planning Certificate – 30/09/1994*</w:t>
            </w:r>
          </w:p>
          <w:p w14:paraId="2C1B6930" w14:textId="77777777" w:rsidR="00F0220F" w:rsidRDefault="00F0220F" w:rsidP="00402715">
            <w:pPr>
              <w:pStyle w:val="ECVSectionBullet"/>
              <w:numPr>
                <w:ilvl w:val="0"/>
                <w:numId w:val="2"/>
              </w:numPr>
            </w:pPr>
            <w:r>
              <w:t>Certificate in Mortgage Advice &amp; Practice – 01/03/1999</w:t>
            </w:r>
          </w:p>
        </w:tc>
        <w:tc>
          <w:tcPr>
            <w:tcW w:w="1305" w:type="dxa"/>
            <w:shd w:val="clear" w:color="auto" w:fill="auto"/>
          </w:tcPr>
          <w:p w14:paraId="329F221E" w14:textId="77777777" w:rsidR="002946C7" w:rsidRDefault="002946C7" w:rsidP="003C0A06">
            <w:pPr>
              <w:pStyle w:val="ECVSectionBullet"/>
            </w:pPr>
          </w:p>
          <w:p w14:paraId="1DEC9DE9" w14:textId="77777777" w:rsidR="00F0220F" w:rsidRDefault="00F0220F" w:rsidP="003C0A06">
            <w:pPr>
              <w:pStyle w:val="ECVSectionBullet"/>
            </w:pPr>
          </w:p>
        </w:tc>
      </w:tr>
      <w:tr w:rsidR="002946C7" w14:paraId="05F2656C" w14:textId="77777777" w:rsidTr="00693985">
        <w:trPr>
          <w:cantSplit/>
        </w:trPr>
        <w:tc>
          <w:tcPr>
            <w:tcW w:w="2834" w:type="dxa"/>
            <w:vMerge/>
            <w:shd w:val="clear" w:color="auto" w:fill="auto"/>
          </w:tcPr>
          <w:p w14:paraId="602E6EAA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705848EB" w14:textId="77777777" w:rsidR="002946C7" w:rsidRDefault="002946C7" w:rsidP="00402715">
            <w:pPr>
              <w:pStyle w:val="ECVSectionBullet"/>
              <w:ind w:left="113"/>
            </w:pPr>
          </w:p>
        </w:tc>
      </w:tr>
      <w:tr w:rsidR="002946C7" w14:paraId="0BD669B3" w14:textId="77777777" w:rsidTr="00693985">
        <w:trPr>
          <w:cantSplit/>
        </w:trPr>
        <w:tc>
          <w:tcPr>
            <w:tcW w:w="2834" w:type="dxa"/>
            <w:vMerge/>
            <w:shd w:val="clear" w:color="auto" w:fill="auto"/>
          </w:tcPr>
          <w:p w14:paraId="3F299210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38D541A3" w14:textId="77777777" w:rsidR="002946C7" w:rsidRDefault="00F0220F" w:rsidP="00F0220F">
            <w:pPr>
              <w:pStyle w:val="ECVSectionBullet"/>
            </w:pPr>
            <w:r>
              <w:t>Examining Board</w:t>
            </w:r>
            <w:r w:rsidR="0021675E">
              <w:t>s: T</w:t>
            </w:r>
            <w:r>
              <w:t>he Institute of Financial Services (</w:t>
            </w:r>
            <w:proofErr w:type="gramStart"/>
            <w:r>
              <w:t>IFS)  or</w:t>
            </w:r>
            <w:proofErr w:type="gramEnd"/>
            <w:r>
              <w:t xml:space="preserve"> *The Chartered  </w:t>
            </w:r>
            <w:proofErr w:type="spellStart"/>
            <w:r>
              <w:t>Inurance</w:t>
            </w:r>
            <w:proofErr w:type="spellEnd"/>
            <w:r>
              <w:t xml:space="preserve"> </w:t>
            </w:r>
            <w:proofErr w:type="spellStart"/>
            <w:r>
              <w:t>Instsitute</w:t>
            </w:r>
            <w:proofErr w:type="spellEnd"/>
          </w:p>
          <w:p w14:paraId="6843CB2D" w14:textId="77777777" w:rsidR="00B240C8" w:rsidRDefault="00B240C8" w:rsidP="00F0220F">
            <w:pPr>
              <w:pStyle w:val="ECVSectionBullet"/>
            </w:pPr>
          </w:p>
        </w:tc>
      </w:tr>
      <w:tr w:rsidR="00693985" w14:paraId="50ABD19F" w14:textId="77777777" w:rsidTr="00C02C02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BA19E2B" w14:textId="77777777" w:rsidR="00693985" w:rsidRDefault="00693985" w:rsidP="00C02C02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2" w:type="dxa"/>
            <w:gridSpan w:val="2"/>
            <w:shd w:val="clear" w:color="auto" w:fill="auto"/>
            <w:vAlign w:val="bottom"/>
          </w:tcPr>
          <w:p w14:paraId="423D9C8E" w14:textId="77777777" w:rsidR="00693985" w:rsidRDefault="0078246F" w:rsidP="00C02C0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C306F64" wp14:editId="192E4E7C">
                  <wp:extent cx="4781550" cy="90805"/>
                  <wp:effectExtent l="1905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3985">
              <w:t xml:space="preserve"> </w:t>
            </w:r>
          </w:p>
        </w:tc>
      </w:tr>
    </w:tbl>
    <w:p w14:paraId="6A959906" w14:textId="77777777" w:rsidR="002946C7" w:rsidRDefault="002946C7"/>
    <w:tbl>
      <w:tblPr>
        <w:tblpPr w:topFromText="6" w:bottomFromText="170" w:vertAnchor="text" w:tblpY="6"/>
        <w:tblW w:w="14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4603"/>
      </w:tblGrid>
      <w:tr w:rsidR="008F602C" w14:paraId="6C7A4567" w14:textId="77777777" w:rsidTr="008F602C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1C7A56" w14:textId="77777777" w:rsidR="008F602C" w:rsidRDefault="008F602C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78DF215" w14:textId="77777777" w:rsidR="003C0A06" w:rsidRDefault="008F602C" w:rsidP="00402715">
            <w:pPr>
              <w:numPr>
                <w:ilvl w:val="2"/>
                <w:numId w:val="2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 w:rsidRPr="00B240C8">
              <w:rPr>
                <w:sz w:val="18"/>
              </w:rPr>
              <w:t>Experienced Company Director</w:t>
            </w:r>
            <w:r w:rsidR="00693985">
              <w:rPr>
                <w:sz w:val="18"/>
              </w:rPr>
              <w:t xml:space="preserve"> </w:t>
            </w:r>
            <w:proofErr w:type="gramStart"/>
            <w:r w:rsidR="00693985">
              <w:rPr>
                <w:sz w:val="18"/>
              </w:rPr>
              <w:t>used</w:t>
            </w:r>
            <w:r w:rsidR="003C0A06">
              <w:rPr>
                <w:sz w:val="18"/>
              </w:rPr>
              <w:t xml:space="preserve"> </w:t>
            </w:r>
            <w:r w:rsidR="00F61471">
              <w:rPr>
                <w:sz w:val="18"/>
              </w:rPr>
              <w:t xml:space="preserve"> to</w:t>
            </w:r>
            <w:proofErr w:type="gramEnd"/>
            <w:r w:rsidR="00F61471">
              <w:rPr>
                <w:sz w:val="18"/>
              </w:rPr>
              <w:t xml:space="preserve"> communicating</w:t>
            </w:r>
            <w:r w:rsidR="00693985">
              <w:rPr>
                <w:sz w:val="18"/>
              </w:rPr>
              <w:t xml:space="preserve"> at the highest levels</w:t>
            </w:r>
            <w:r w:rsidR="003C0A06">
              <w:rPr>
                <w:sz w:val="18"/>
              </w:rPr>
              <w:t xml:space="preserve"> internally and</w:t>
            </w:r>
          </w:p>
          <w:p w14:paraId="2B8CFC5A" w14:textId="77777777" w:rsidR="008F602C" w:rsidRPr="00B240C8" w:rsidRDefault="003C0A06" w:rsidP="003C0A06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    externally</w:t>
            </w:r>
          </w:p>
          <w:p w14:paraId="5AB9D1AD" w14:textId="77777777" w:rsidR="008F602C" w:rsidRPr="00B240C8" w:rsidRDefault="00B240C8" w:rsidP="00402715">
            <w:pPr>
              <w:numPr>
                <w:ilvl w:val="2"/>
                <w:numId w:val="2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E</w:t>
            </w:r>
            <w:r w:rsidR="008F602C" w:rsidRPr="00B240C8">
              <w:rPr>
                <w:sz w:val="18"/>
              </w:rPr>
              <w:t xml:space="preserve">xperienced </w:t>
            </w:r>
            <w:r w:rsidR="0078246F">
              <w:rPr>
                <w:sz w:val="18"/>
              </w:rPr>
              <w:t xml:space="preserve">Board </w:t>
            </w:r>
            <w:r w:rsidR="008F602C" w:rsidRPr="00B240C8">
              <w:rPr>
                <w:sz w:val="18"/>
              </w:rPr>
              <w:t>Chairman</w:t>
            </w:r>
          </w:p>
          <w:p w14:paraId="43A8C39A" w14:textId="77777777" w:rsidR="009F0FF3" w:rsidRDefault="008F602C" w:rsidP="00402715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 w:rsidRPr="00B240C8">
              <w:rPr>
                <w:sz w:val="18"/>
              </w:rPr>
              <w:t>IT &amp; Operational Management</w:t>
            </w:r>
            <w:r w:rsidR="00693985">
              <w:rPr>
                <w:sz w:val="18"/>
              </w:rPr>
              <w:t xml:space="preserve"> inclu</w:t>
            </w:r>
            <w:r w:rsidR="003C0A06">
              <w:rPr>
                <w:sz w:val="18"/>
              </w:rPr>
              <w:t>d</w:t>
            </w:r>
            <w:r w:rsidR="00693985">
              <w:rPr>
                <w:sz w:val="18"/>
              </w:rPr>
              <w:t xml:space="preserve">ing strategy and </w:t>
            </w:r>
            <w:r w:rsidR="009F0FF3">
              <w:rPr>
                <w:sz w:val="18"/>
              </w:rPr>
              <w:t xml:space="preserve">transformation planning and </w:t>
            </w:r>
          </w:p>
          <w:p w14:paraId="25ADB08B" w14:textId="40F64B05" w:rsidR="008F602C" w:rsidRPr="00B240C8" w:rsidRDefault="00693985" w:rsidP="00841F40">
            <w:pPr>
              <w:tabs>
                <w:tab w:val="left" w:pos="720"/>
                <w:tab w:val="right" w:pos="8640"/>
              </w:tabs>
              <w:ind w:left="709"/>
              <w:rPr>
                <w:sz w:val="18"/>
              </w:rPr>
            </w:pPr>
            <w:r>
              <w:rPr>
                <w:sz w:val="18"/>
              </w:rPr>
              <w:t>implementation</w:t>
            </w:r>
          </w:p>
          <w:p w14:paraId="135A7E0B" w14:textId="77777777" w:rsidR="003C0A06" w:rsidRDefault="008F602C" w:rsidP="00402715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 w:rsidRPr="00B240C8">
              <w:rPr>
                <w:sz w:val="18"/>
              </w:rPr>
              <w:t>Sales Management</w:t>
            </w:r>
            <w:r w:rsidR="00693985">
              <w:rPr>
                <w:sz w:val="18"/>
              </w:rPr>
              <w:t xml:space="preserve"> – vast experience in this area</w:t>
            </w:r>
            <w:r w:rsidR="003C0A06">
              <w:rPr>
                <w:sz w:val="18"/>
              </w:rPr>
              <w:t xml:space="preserve">, from running a small sales team in a </w:t>
            </w:r>
          </w:p>
          <w:p w14:paraId="11A232A8" w14:textId="77777777" w:rsidR="008F602C" w:rsidRPr="00B240C8" w:rsidRDefault="003C0A06" w:rsidP="003C0A06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    small business to a big one n a large one</w:t>
            </w:r>
          </w:p>
          <w:p w14:paraId="167E1586" w14:textId="77777777" w:rsidR="00693985" w:rsidRDefault="008F602C" w:rsidP="00402715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 w:rsidRPr="00B240C8">
              <w:rPr>
                <w:sz w:val="18"/>
              </w:rPr>
              <w:t>Change Management</w:t>
            </w:r>
            <w:r w:rsidR="00693985">
              <w:rPr>
                <w:sz w:val="18"/>
              </w:rPr>
              <w:t xml:space="preserve"> – leading and implementing significant change management </w:t>
            </w:r>
          </w:p>
          <w:p w14:paraId="7E0C7BE2" w14:textId="77777777" w:rsidR="008F602C" w:rsidRPr="00B240C8" w:rsidRDefault="00693985" w:rsidP="00402715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BD4492">
              <w:rPr>
                <w:sz w:val="18"/>
              </w:rPr>
              <w:t xml:space="preserve"> </w:t>
            </w:r>
            <w:r w:rsidR="003C0A06">
              <w:rPr>
                <w:sz w:val="18"/>
              </w:rPr>
              <w:t xml:space="preserve">  </w:t>
            </w:r>
            <w:r>
              <w:rPr>
                <w:sz w:val="18"/>
              </w:rPr>
              <w:t>programmes successfully and on time/budget</w:t>
            </w:r>
          </w:p>
          <w:p w14:paraId="3FF994DF" w14:textId="7454FFA3" w:rsidR="00BD4492" w:rsidRDefault="00F61471" w:rsidP="00F61471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Oversight and direction of an expanding </w:t>
            </w:r>
            <w:r w:rsidR="003C0A06">
              <w:rPr>
                <w:sz w:val="18"/>
              </w:rPr>
              <w:t xml:space="preserve">organisation </w:t>
            </w:r>
            <w:r>
              <w:rPr>
                <w:sz w:val="18"/>
              </w:rPr>
              <w:t xml:space="preserve">- </w:t>
            </w:r>
            <w:r w:rsidR="003C0A06">
              <w:rPr>
                <w:sz w:val="18"/>
              </w:rPr>
              <w:t xml:space="preserve">grown from 3 to over </w:t>
            </w:r>
            <w:r w:rsidR="00F46C9D">
              <w:rPr>
                <w:sz w:val="18"/>
              </w:rPr>
              <w:t>800</w:t>
            </w:r>
            <w:r>
              <w:rPr>
                <w:sz w:val="18"/>
              </w:rPr>
              <w:t>+</w:t>
            </w:r>
            <w:r w:rsidR="003C0A06">
              <w:rPr>
                <w:sz w:val="18"/>
              </w:rPr>
              <w:t xml:space="preserve"> people </w:t>
            </w:r>
            <w:r w:rsidR="00BD4492">
              <w:rPr>
                <w:sz w:val="18"/>
              </w:rPr>
              <w:t xml:space="preserve">                         </w:t>
            </w:r>
          </w:p>
          <w:p w14:paraId="64D10DF2" w14:textId="1A982B86" w:rsidR="003C0A06" w:rsidRPr="00F61471" w:rsidRDefault="00BD4492" w:rsidP="00BD4492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21675E">
              <w:rPr>
                <w:sz w:val="18"/>
              </w:rPr>
              <w:t xml:space="preserve"> </w:t>
            </w:r>
            <w:r w:rsidR="003C0A06">
              <w:rPr>
                <w:sz w:val="18"/>
              </w:rPr>
              <w:t>since</w:t>
            </w:r>
            <w:r w:rsidR="00F61471">
              <w:rPr>
                <w:sz w:val="18"/>
              </w:rPr>
              <w:t xml:space="preserve"> </w:t>
            </w:r>
            <w:r w:rsidR="003C0A06" w:rsidRPr="00F61471">
              <w:rPr>
                <w:sz w:val="18"/>
              </w:rPr>
              <w:t>20</w:t>
            </w:r>
            <w:r w:rsidR="0021675E">
              <w:rPr>
                <w:sz w:val="18"/>
              </w:rPr>
              <w:t>00</w:t>
            </w:r>
            <w:r w:rsidR="007C762E">
              <w:rPr>
                <w:sz w:val="18"/>
              </w:rPr>
              <w:t xml:space="preserve">.With T/O from </w:t>
            </w:r>
            <w:r w:rsidR="00F6450A">
              <w:rPr>
                <w:sz w:val="18"/>
              </w:rPr>
              <w:t>nothing to £60 million with pre-tax profits of £10 million.</w:t>
            </w:r>
          </w:p>
          <w:p w14:paraId="4310DC13" w14:textId="77777777" w:rsidR="008F602C" w:rsidRPr="00B240C8" w:rsidRDefault="008F602C" w:rsidP="00402715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 w:rsidRPr="00B240C8">
              <w:rPr>
                <w:sz w:val="18"/>
              </w:rPr>
              <w:t>Operational Management</w:t>
            </w:r>
          </w:p>
          <w:p w14:paraId="78D7929A" w14:textId="77777777" w:rsidR="00693985" w:rsidRDefault="008F602C" w:rsidP="00402715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 w:rsidRPr="00B240C8">
              <w:rPr>
                <w:sz w:val="18"/>
              </w:rPr>
              <w:t>Public Relations</w:t>
            </w:r>
            <w:r w:rsidR="00693985">
              <w:rPr>
                <w:sz w:val="18"/>
              </w:rPr>
              <w:t xml:space="preserve"> – good knowledge of all aspects honed through building a successful</w:t>
            </w:r>
          </w:p>
          <w:p w14:paraId="012005A6" w14:textId="77777777" w:rsidR="008F602C" w:rsidRPr="00B240C8" w:rsidRDefault="00693985" w:rsidP="00402715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3C0A06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="0021675E">
              <w:rPr>
                <w:sz w:val="18"/>
              </w:rPr>
              <w:t xml:space="preserve"> </w:t>
            </w:r>
            <w:r>
              <w:rPr>
                <w:sz w:val="18"/>
              </w:rPr>
              <w:t>business, in a competitive market place and with a high public profile</w:t>
            </w:r>
          </w:p>
          <w:p w14:paraId="448573C4" w14:textId="77777777" w:rsidR="00B240C8" w:rsidRDefault="008F602C" w:rsidP="00402715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 w:rsidRPr="00B240C8">
              <w:rPr>
                <w:sz w:val="18"/>
              </w:rPr>
              <w:t>Media Relations</w:t>
            </w:r>
            <w:r w:rsidR="00693985">
              <w:rPr>
                <w:sz w:val="18"/>
              </w:rPr>
              <w:t xml:space="preserve"> – </w:t>
            </w:r>
            <w:r w:rsidR="00BD4492">
              <w:rPr>
                <w:sz w:val="18"/>
              </w:rPr>
              <w:t>Accomplished at talking to the</w:t>
            </w:r>
            <w:r w:rsidR="003C0A06">
              <w:rPr>
                <w:sz w:val="18"/>
              </w:rPr>
              <w:t xml:space="preserve"> </w:t>
            </w:r>
            <w:r w:rsidR="00693985">
              <w:rPr>
                <w:sz w:val="18"/>
              </w:rPr>
              <w:t>National &amp; Broadcast Media</w:t>
            </w:r>
          </w:p>
          <w:p w14:paraId="4EB70477" w14:textId="77777777" w:rsidR="00693985" w:rsidRDefault="00B240C8" w:rsidP="00402715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Sp</w:t>
            </w:r>
            <w:r w:rsidR="008F602C" w:rsidRPr="00B240C8">
              <w:rPr>
                <w:sz w:val="18"/>
              </w:rPr>
              <w:t>orts Club Management</w:t>
            </w:r>
            <w:r w:rsidR="00693985">
              <w:rPr>
                <w:sz w:val="18"/>
              </w:rPr>
              <w:t xml:space="preserve"> – Chairman &amp; Treasurer of a Rugby Club in the UK dealing with</w:t>
            </w:r>
          </w:p>
          <w:p w14:paraId="5E331B80" w14:textId="77777777" w:rsidR="00693985" w:rsidRDefault="00693985" w:rsidP="00402715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3C0A06">
              <w:rPr>
                <w:sz w:val="18"/>
              </w:rPr>
              <w:t xml:space="preserve">  </w:t>
            </w:r>
            <w:r>
              <w:rPr>
                <w:sz w:val="18"/>
              </w:rPr>
              <w:t>players, officials, salaried staff and volunteers</w:t>
            </w:r>
          </w:p>
          <w:p w14:paraId="69B2E845" w14:textId="77777777" w:rsidR="003C0A06" w:rsidRDefault="00693985" w:rsidP="00402715">
            <w:pPr>
              <w:numPr>
                <w:ilvl w:val="2"/>
                <w:numId w:val="4"/>
              </w:numPr>
              <w:tabs>
                <w:tab w:val="left" w:pos="720"/>
                <w:tab w:val="right" w:pos="8640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The ability to communicate effectively with diverse groups </w:t>
            </w:r>
            <w:r w:rsidR="003C0A06">
              <w:rPr>
                <w:sz w:val="18"/>
              </w:rPr>
              <w:t xml:space="preserve">outside of finance, </w:t>
            </w:r>
            <w:r>
              <w:rPr>
                <w:sz w:val="18"/>
              </w:rPr>
              <w:t>as evidenced</w:t>
            </w:r>
          </w:p>
          <w:p w14:paraId="0F85990E" w14:textId="77777777" w:rsidR="00BD4492" w:rsidRDefault="003C0A06" w:rsidP="003C0A06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D4492">
              <w:rPr>
                <w:sz w:val="18"/>
              </w:rPr>
              <w:t xml:space="preserve"> by work for the RFU, a</w:t>
            </w:r>
            <w:r w:rsidR="00693985">
              <w:rPr>
                <w:sz w:val="18"/>
              </w:rPr>
              <w:t>s a</w:t>
            </w:r>
            <w:r>
              <w:rPr>
                <w:sz w:val="18"/>
              </w:rPr>
              <w:t xml:space="preserve"> </w:t>
            </w:r>
            <w:proofErr w:type="gramStart"/>
            <w:r w:rsidR="00693985">
              <w:rPr>
                <w:sz w:val="18"/>
              </w:rPr>
              <w:t>member  of</w:t>
            </w:r>
            <w:proofErr w:type="gramEnd"/>
            <w:r w:rsidR="00693985">
              <w:rPr>
                <w:sz w:val="18"/>
              </w:rPr>
              <w:t xml:space="preserve"> the Rugby World Cup 2015 – Lead Up &amp; Legacy </w:t>
            </w:r>
          </w:p>
          <w:p w14:paraId="134D567A" w14:textId="77777777" w:rsidR="008F602C" w:rsidRPr="00B240C8" w:rsidRDefault="00BD4492" w:rsidP="003C0A06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693985">
              <w:rPr>
                <w:sz w:val="18"/>
              </w:rPr>
              <w:t xml:space="preserve">Board </w:t>
            </w:r>
            <w:r w:rsidR="00C4378B">
              <w:rPr>
                <w:sz w:val="18"/>
              </w:rPr>
              <w:t>(2013-15)</w:t>
            </w:r>
          </w:p>
        </w:tc>
        <w:tc>
          <w:tcPr>
            <w:tcW w:w="4603" w:type="dxa"/>
          </w:tcPr>
          <w:p w14:paraId="78583F1D" w14:textId="77777777" w:rsidR="008F602C" w:rsidRDefault="008F602C" w:rsidP="008F602C">
            <w:pPr>
              <w:tabs>
                <w:tab w:val="left" w:pos="720"/>
                <w:tab w:val="right" w:pos="8640"/>
              </w:tabs>
              <w:ind w:left="720" w:hanging="360"/>
              <w:rPr>
                <w:sz w:val="22"/>
                <w:szCs w:val="22"/>
              </w:rPr>
            </w:pPr>
          </w:p>
        </w:tc>
      </w:tr>
      <w:tr w:rsidR="003C0A06" w14:paraId="319B0F7E" w14:textId="77777777" w:rsidTr="008F602C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9C562A7" w14:textId="77777777" w:rsidR="003C0A06" w:rsidRDefault="003C0A0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466593E" w14:textId="77777777" w:rsidR="003C0A06" w:rsidRPr="00B240C8" w:rsidRDefault="003C0A06" w:rsidP="00BD4492">
            <w:pPr>
              <w:tabs>
                <w:tab w:val="left" w:pos="720"/>
                <w:tab w:val="right" w:pos="8640"/>
              </w:tabs>
              <w:ind w:left="340"/>
              <w:rPr>
                <w:sz w:val="18"/>
              </w:rPr>
            </w:pPr>
          </w:p>
        </w:tc>
        <w:tc>
          <w:tcPr>
            <w:tcW w:w="4603" w:type="dxa"/>
          </w:tcPr>
          <w:p w14:paraId="357A5852" w14:textId="77777777" w:rsidR="003C0A06" w:rsidRDefault="003C0A06" w:rsidP="00C02C02">
            <w:pPr>
              <w:tabs>
                <w:tab w:val="left" w:pos="720"/>
                <w:tab w:val="right" w:pos="8640"/>
              </w:tabs>
              <w:ind w:left="720" w:hanging="360"/>
              <w:rPr>
                <w:sz w:val="22"/>
                <w:szCs w:val="22"/>
              </w:rPr>
            </w:pPr>
          </w:p>
        </w:tc>
      </w:tr>
      <w:tr w:rsidR="009F0FF3" w14:paraId="125E2676" w14:textId="77777777" w:rsidTr="008F602C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69C9E79" w14:textId="77777777" w:rsidR="009F0FF3" w:rsidRDefault="009F0FF3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1785270" w14:textId="77777777" w:rsidR="009F0FF3" w:rsidRPr="00B240C8" w:rsidRDefault="009F0FF3" w:rsidP="00F6450A">
            <w:pPr>
              <w:tabs>
                <w:tab w:val="left" w:pos="720"/>
                <w:tab w:val="right" w:pos="8640"/>
              </w:tabs>
              <w:rPr>
                <w:sz w:val="18"/>
              </w:rPr>
            </w:pPr>
          </w:p>
        </w:tc>
        <w:tc>
          <w:tcPr>
            <w:tcW w:w="4603" w:type="dxa"/>
          </w:tcPr>
          <w:p w14:paraId="4FFF5B4B" w14:textId="77777777" w:rsidR="009F0FF3" w:rsidRDefault="009F0FF3" w:rsidP="00C02C02">
            <w:pPr>
              <w:tabs>
                <w:tab w:val="left" w:pos="720"/>
                <w:tab w:val="right" w:pos="8640"/>
              </w:tabs>
              <w:ind w:left="720" w:hanging="360"/>
              <w:rPr>
                <w:sz w:val="22"/>
                <w:szCs w:val="22"/>
              </w:rPr>
            </w:pPr>
          </w:p>
        </w:tc>
      </w:tr>
    </w:tbl>
    <w:p w14:paraId="24AE161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3F4BF3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86F1AA5" w14:textId="77777777" w:rsidR="00AB3BFB" w:rsidRDefault="00AB3BFB" w:rsidP="00B240C8">
            <w:pPr>
              <w:pStyle w:val="ECVLeftDetails"/>
              <w:jc w:val="left"/>
            </w:pPr>
          </w:p>
          <w:p w14:paraId="459318FF" w14:textId="33BD839E" w:rsidR="002946C7" w:rsidRDefault="002946C7" w:rsidP="00B240C8">
            <w:pPr>
              <w:pStyle w:val="ECVLeftDetails"/>
              <w:jc w:val="left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11B57905" w14:textId="77777777" w:rsidR="00AB3BFB" w:rsidRDefault="00AB3BFB" w:rsidP="00AB3BFB">
            <w:pPr>
              <w:pStyle w:val="ECVSectionBullet"/>
              <w:ind w:left="113"/>
            </w:pPr>
          </w:p>
          <w:p w14:paraId="3732CCE6" w14:textId="295DE20B" w:rsidR="002946C7" w:rsidRDefault="008F602C" w:rsidP="008F602C">
            <w:pPr>
              <w:pStyle w:val="ECVSectionBullet"/>
              <w:numPr>
                <w:ilvl w:val="0"/>
                <w:numId w:val="2"/>
              </w:numPr>
            </w:pPr>
            <w:r>
              <w:t>Le</w:t>
            </w:r>
            <w:r w:rsidR="003C0A06">
              <w:t xml:space="preserve">adership - </w:t>
            </w:r>
            <w:r w:rsidR="002946C7">
              <w:t xml:space="preserve">responsible for a team of </w:t>
            </w:r>
            <w:r w:rsidR="00C4378B">
              <w:t xml:space="preserve">over </w:t>
            </w:r>
            <w:r w:rsidR="00F6450A">
              <w:t>3</w:t>
            </w:r>
            <w:r w:rsidR="00C4378B">
              <w:t>0</w:t>
            </w:r>
            <w:r>
              <w:t xml:space="preserve"> </w:t>
            </w:r>
            <w:r w:rsidR="00402715">
              <w:t>d</w:t>
            </w:r>
            <w:r>
              <w:t xml:space="preserve">irect reports and </w:t>
            </w:r>
            <w:r w:rsidR="00BD4492">
              <w:t>many more</w:t>
            </w:r>
            <w:r>
              <w:t xml:space="preserve"> indirect</w:t>
            </w:r>
            <w:r w:rsidR="00402715">
              <w:t xml:space="preserve"> </w:t>
            </w:r>
            <w:r w:rsidR="003C0A06">
              <w:t>reports</w:t>
            </w:r>
          </w:p>
          <w:p w14:paraId="32EB5A5D" w14:textId="77777777" w:rsidR="009A5A3F" w:rsidRDefault="009A5A3F" w:rsidP="00B240C8">
            <w:pPr>
              <w:pStyle w:val="ECVSectionBullet"/>
              <w:numPr>
                <w:ilvl w:val="0"/>
                <w:numId w:val="2"/>
              </w:numPr>
            </w:pPr>
            <w:r>
              <w:t>The ability to embed regulatory rules and processes into day to day working and sales practices within a firm dealing with consumers a</w:t>
            </w:r>
            <w:r w:rsidR="00402715">
              <w:t>t</w:t>
            </w:r>
            <w:r>
              <w:t xml:space="preserve"> the co</w:t>
            </w:r>
            <w:r w:rsidR="00402715">
              <w:t>a</w:t>
            </w:r>
            <w:r>
              <w:t>l face</w:t>
            </w:r>
          </w:p>
          <w:p w14:paraId="09F66E37" w14:textId="77777777" w:rsidR="009A5A3F" w:rsidRDefault="009A5A3F" w:rsidP="00B240C8">
            <w:pPr>
              <w:pStyle w:val="ECVSectionBullet"/>
              <w:numPr>
                <w:ilvl w:val="0"/>
                <w:numId w:val="2"/>
              </w:numPr>
            </w:pPr>
            <w:r>
              <w:t xml:space="preserve">Setting culture within a firm by embedding a </w:t>
            </w:r>
            <w:r w:rsidR="00402715">
              <w:t>‘</w:t>
            </w:r>
            <w:r>
              <w:t>Consumers Champion</w:t>
            </w:r>
            <w:r w:rsidR="00402715">
              <w:t>’</w:t>
            </w:r>
            <w:r>
              <w:t xml:space="preserve"> ideology</w:t>
            </w:r>
            <w:r w:rsidR="00402715">
              <w:t>, thereby</w:t>
            </w:r>
            <w:r>
              <w:t xml:space="preserve"> ensuring fair outcomes for all consumers</w:t>
            </w:r>
          </w:p>
          <w:p w14:paraId="4DEEF1F2" w14:textId="77777777" w:rsidR="00B240C8" w:rsidRDefault="00BD4492" w:rsidP="00B240C8">
            <w:pPr>
              <w:pStyle w:val="ECVSectionBullet"/>
              <w:numPr>
                <w:ilvl w:val="0"/>
                <w:numId w:val="2"/>
              </w:numPr>
            </w:pPr>
            <w:r>
              <w:t>Change management including the radical</w:t>
            </w:r>
            <w:r w:rsidR="00B240C8">
              <w:t xml:space="preserve"> restructuring </w:t>
            </w:r>
            <w:r>
              <w:t xml:space="preserve">of </w:t>
            </w:r>
            <w:r w:rsidR="00B240C8">
              <w:t>the firms IT Department and working methodologies</w:t>
            </w:r>
            <w:r w:rsidR="00C4378B">
              <w:t xml:space="preserve"> and moving to an Agile working methodology</w:t>
            </w:r>
          </w:p>
          <w:p w14:paraId="62C4B311" w14:textId="77777777" w:rsidR="00B240C8" w:rsidRDefault="00B240C8" w:rsidP="00B240C8">
            <w:pPr>
              <w:pStyle w:val="ECVSectionBullet"/>
              <w:numPr>
                <w:ilvl w:val="0"/>
                <w:numId w:val="2"/>
              </w:numPr>
            </w:pPr>
            <w:r>
              <w:t xml:space="preserve">Press and PR </w:t>
            </w:r>
            <w:r w:rsidR="00BD4492">
              <w:t>managing the firms im</w:t>
            </w:r>
            <w:r w:rsidR="003C0A06">
              <w:t xml:space="preserve">age and ethos by </w:t>
            </w:r>
            <w:r>
              <w:t xml:space="preserve">representing the firm and </w:t>
            </w:r>
            <w:r w:rsidR="003C0A06">
              <w:t xml:space="preserve">the </w:t>
            </w:r>
            <w:r>
              <w:t xml:space="preserve">wider industry in the National Press and </w:t>
            </w:r>
            <w:proofErr w:type="gramStart"/>
            <w:r>
              <w:t>Broadcast  Media</w:t>
            </w:r>
            <w:proofErr w:type="gramEnd"/>
          </w:p>
          <w:p w14:paraId="2F16916E" w14:textId="77777777" w:rsidR="00B240C8" w:rsidRDefault="003C0A06" w:rsidP="00B240C8">
            <w:pPr>
              <w:pStyle w:val="ECVSectionBullet"/>
              <w:numPr>
                <w:ilvl w:val="0"/>
                <w:numId w:val="2"/>
              </w:numPr>
            </w:pPr>
            <w:r>
              <w:t xml:space="preserve">Formulating responses </w:t>
            </w:r>
            <w:r w:rsidR="00B240C8">
              <w:t>to regulatory paper</w:t>
            </w:r>
            <w:r w:rsidR="009A5A3F">
              <w:t>s</w:t>
            </w:r>
            <w:r w:rsidR="00B240C8">
              <w:t xml:space="preserve"> and debate</w:t>
            </w:r>
            <w:r w:rsidR="009A5A3F">
              <w:t>s</w:t>
            </w:r>
            <w:r w:rsidR="00B240C8">
              <w:t xml:space="preserve"> th</w:t>
            </w:r>
            <w:r w:rsidR="00BD4492">
              <w:t>rough work with H</w:t>
            </w:r>
            <w:r w:rsidR="00B240C8">
              <w:t xml:space="preserve">MT, </w:t>
            </w:r>
            <w:r w:rsidR="00BD4492">
              <w:t xml:space="preserve">the </w:t>
            </w:r>
            <w:r w:rsidR="00B240C8">
              <w:t xml:space="preserve">Financial Conduct </w:t>
            </w:r>
            <w:proofErr w:type="gramStart"/>
            <w:r w:rsidR="00B240C8">
              <w:t>Authority,  Council</w:t>
            </w:r>
            <w:proofErr w:type="gramEnd"/>
            <w:r w:rsidR="00B240C8">
              <w:t xml:space="preserve"> of Mortgage Lenders, Intermediary M</w:t>
            </w:r>
            <w:r w:rsidR="00BD4492">
              <w:t>ortgage Lenders Association,</w:t>
            </w:r>
            <w:r w:rsidR="00B240C8">
              <w:t xml:space="preserve"> </w:t>
            </w:r>
            <w:r w:rsidR="00BD4492">
              <w:t xml:space="preserve">Building Societies Association, </w:t>
            </w:r>
            <w:r w:rsidR="00B240C8">
              <w:t xml:space="preserve">Association of Mortgage </w:t>
            </w:r>
            <w:proofErr w:type="spellStart"/>
            <w:r w:rsidR="00B240C8">
              <w:t>Intermerdiaries</w:t>
            </w:r>
            <w:proofErr w:type="spellEnd"/>
            <w:r w:rsidR="00B240C8">
              <w:t xml:space="preserve"> and </w:t>
            </w:r>
            <w:r w:rsidR="00BD4492">
              <w:t>t</w:t>
            </w:r>
            <w:r w:rsidR="00B240C8" w:rsidRPr="00B240C8">
              <w:t>he European Federation of Insurance Intermediaries</w:t>
            </w:r>
            <w:r w:rsidR="00402715">
              <w:t xml:space="preserve"> (BIPAR)</w:t>
            </w:r>
            <w:r w:rsidR="00B240C8">
              <w:t xml:space="preserve"> </w:t>
            </w:r>
          </w:p>
          <w:p w14:paraId="0FD60547" w14:textId="26969DD2" w:rsidR="009A5A3F" w:rsidRDefault="009A5A3F" w:rsidP="00B240C8">
            <w:pPr>
              <w:pStyle w:val="ECVSectionBullet"/>
              <w:numPr>
                <w:ilvl w:val="0"/>
                <w:numId w:val="2"/>
              </w:numPr>
            </w:pPr>
            <w:r>
              <w:t xml:space="preserve">Wider communication skills within voluntary organisations </w:t>
            </w:r>
            <w:r w:rsidR="00F6450A">
              <w:t>evidenced</w:t>
            </w:r>
            <w:r>
              <w:t xml:space="preserve"> by work for the Rugby Football Union (RFU)</w:t>
            </w:r>
            <w:r w:rsidR="00F6450A">
              <w:t xml:space="preserve"> and Oldfield RFC</w:t>
            </w:r>
          </w:p>
          <w:p w14:paraId="20951FE1" w14:textId="77777777" w:rsidR="009A5A3F" w:rsidRDefault="009A5A3F" w:rsidP="00402715">
            <w:pPr>
              <w:pStyle w:val="ECVSectionBullet"/>
              <w:numPr>
                <w:ilvl w:val="0"/>
                <w:numId w:val="2"/>
              </w:numPr>
            </w:pPr>
            <w:r>
              <w:t xml:space="preserve">Organisational Skills required as a 2015 World Cup Lead Up &amp; Legacy </w:t>
            </w:r>
            <w:proofErr w:type="gramStart"/>
            <w:r>
              <w:t>Board  member</w:t>
            </w:r>
            <w:proofErr w:type="gramEnd"/>
            <w:r>
              <w:t xml:space="preserve"> for the RFU</w:t>
            </w:r>
            <w:r w:rsidR="00BD4492">
              <w:t xml:space="preserve"> – this Board was f</w:t>
            </w:r>
            <w:r w:rsidR="00402715">
              <w:t>ormed</w:t>
            </w:r>
            <w:r w:rsidR="003C0A06">
              <w:t xml:space="preserve"> </w:t>
            </w:r>
            <w:r w:rsidR="00402715">
              <w:t xml:space="preserve"> to </w:t>
            </w:r>
            <w:r>
              <w:t>look</w:t>
            </w:r>
            <w:r w:rsidR="00402715">
              <w:t xml:space="preserve"> at</w:t>
            </w:r>
            <w:r>
              <w:t xml:space="preserve"> optimis</w:t>
            </w:r>
            <w:r w:rsidR="00402715">
              <w:t>ing</w:t>
            </w:r>
            <w:r>
              <w:t xml:space="preserve"> the impact of the 2015 World Cup on the game in England, including the maximisation of commercial </w:t>
            </w:r>
            <w:r w:rsidR="00402715">
              <w:t xml:space="preserve">performance </w:t>
            </w:r>
            <w:r>
              <w:t xml:space="preserve">and player recruitment </w:t>
            </w:r>
            <w:r w:rsidR="00402715">
              <w:t>&amp; retention</w:t>
            </w:r>
            <w:r>
              <w:t>.</w:t>
            </w:r>
          </w:p>
        </w:tc>
      </w:tr>
    </w:tbl>
    <w:p w14:paraId="2F58C84C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FEF2AF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C08D63C" w14:textId="77777777" w:rsidR="002946C7" w:rsidRDefault="008D17D1" w:rsidP="008D17D1">
            <w:pPr>
              <w:pStyle w:val="ECVLeftDetails"/>
            </w:pPr>
            <w:r>
              <w:t>Other relevant</w:t>
            </w:r>
            <w:r w:rsidR="002946C7">
              <w:t xml:space="preserve"> skills</w:t>
            </w:r>
          </w:p>
        </w:tc>
        <w:tc>
          <w:tcPr>
            <w:tcW w:w="7542" w:type="dxa"/>
            <w:shd w:val="clear" w:color="auto" w:fill="auto"/>
          </w:tcPr>
          <w:p w14:paraId="7A0FB8B3" w14:textId="77777777" w:rsidR="009A5A3F" w:rsidRDefault="009A5A3F" w:rsidP="008F602C">
            <w:pPr>
              <w:pStyle w:val="ECVSectionBullet"/>
              <w:numPr>
                <w:ilvl w:val="0"/>
                <w:numId w:val="2"/>
              </w:numPr>
            </w:pPr>
            <w:r>
              <w:t>Good command of the inception, organisation and growth of a respected intermediary firm in line with industry best practice</w:t>
            </w:r>
            <w:r w:rsidR="00BC27AA">
              <w:t>,</w:t>
            </w:r>
            <w:r>
              <w:t xml:space="preserve"> as a Director of London &amp; Country Mortgages Ltd</w:t>
            </w:r>
          </w:p>
          <w:p w14:paraId="482DA370" w14:textId="77777777" w:rsidR="002946C7" w:rsidRDefault="008F602C" w:rsidP="008F602C">
            <w:pPr>
              <w:pStyle w:val="ECVSectionBullet"/>
              <w:numPr>
                <w:ilvl w:val="0"/>
                <w:numId w:val="2"/>
              </w:numPr>
            </w:pPr>
            <w:r>
              <w:t>Good command of Training &amp; Competence Regimes in the UK</w:t>
            </w:r>
            <w:r w:rsidR="00B240C8">
              <w:t xml:space="preserve"> gained from running the firms formal T&amp;C scheme</w:t>
            </w:r>
          </w:p>
          <w:p w14:paraId="19E3D5A2" w14:textId="77777777" w:rsidR="008F602C" w:rsidRDefault="00AE044E" w:rsidP="008F602C">
            <w:pPr>
              <w:pStyle w:val="ECVSectionBullet"/>
              <w:numPr>
                <w:ilvl w:val="0"/>
                <w:numId w:val="2"/>
              </w:numPr>
            </w:pPr>
            <w:r>
              <w:t>Good comman</w:t>
            </w:r>
            <w:r w:rsidR="008F602C">
              <w:t>d of MCOB and ICOB regimes in the UK</w:t>
            </w:r>
            <w:r w:rsidR="00B240C8">
              <w:t xml:space="preserve"> </w:t>
            </w:r>
            <w:r w:rsidR="003C0A06">
              <w:t>and the EU Mor</w:t>
            </w:r>
            <w:r w:rsidR="00C4378B">
              <w:t>tgage D</w:t>
            </w:r>
            <w:r w:rsidR="003C0A06">
              <w:t xml:space="preserve">irective – making </w:t>
            </w:r>
            <w:proofErr w:type="spellStart"/>
            <w:r w:rsidR="003C0A06">
              <w:t>ful</w:t>
            </w:r>
            <w:proofErr w:type="spellEnd"/>
            <w:r w:rsidR="003C0A06">
              <w:t xml:space="preserve"> </w:t>
            </w:r>
            <w:r w:rsidR="00B240C8">
              <w:t>contribution</w:t>
            </w:r>
            <w:r w:rsidR="003C0A06">
              <w:t>s</w:t>
            </w:r>
            <w:r w:rsidR="00B240C8">
              <w:t xml:space="preserve"> to FCA</w:t>
            </w:r>
            <w:r w:rsidR="003C0A06">
              <w:t xml:space="preserve"> and EU bodies </w:t>
            </w:r>
            <w:r w:rsidR="00B240C8">
              <w:t xml:space="preserve">in the </w:t>
            </w:r>
            <w:r w:rsidR="00C4378B">
              <w:t xml:space="preserve">MMR </w:t>
            </w:r>
            <w:r w:rsidR="00B240C8">
              <w:t>Consultation and Drafting stages</w:t>
            </w:r>
          </w:p>
          <w:p w14:paraId="327EB074" w14:textId="7B314D57" w:rsidR="00F46C9D" w:rsidRDefault="00F46C9D" w:rsidP="008F602C">
            <w:pPr>
              <w:pStyle w:val="ECVSectionBullet"/>
              <w:numPr>
                <w:ilvl w:val="0"/>
                <w:numId w:val="2"/>
              </w:numPr>
            </w:pPr>
            <w:r>
              <w:t>Sat on FCA’s Industry working group drafting the FCAS Rule changes need to bring the UK into compliance with MCD</w:t>
            </w:r>
          </w:p>
          <w:p w14:paraId="2D70EA75" w14:textId="4AAE17AA" w:rsidR="00F6450A" w:rsidRDefault="00F6450A" w:rsidP="008F602C">
            <w:pPr>
              <w:pStyle w:val="ECVSectionBullet"/>
              <w:numPr>
                <w:ilvl w:val="0"/>
                <w:numId w:val="2"/>
              </w:numPr>
            </w:pPr>
            <w:r>
              <w:t>Completed preparatory work for L&amp;C and the SMCR regime</w:t>
            </w:r>
          </w:p>
          <w:p w14:paraId="54876870" w14:textId="77777777" w:rsidR="0078246F" w:rsidRDefault="0078246F" w:rsidP="008F602C">
            <w:pPr>
              <w:pStyle w:val="ECVSectionBullet"/>
              <w:numPr>
                <w:ilvl w:val="0"/>
                <w:numId w:val="2"/>
              </w:numPr>
            </w:pPr>
            <w:r>
              <w:t>Participant in numerous working groups for FCA and a speaker at numerous conferences</w:t>
            </w:r>
          </w:p>
          <w:p w14:paraId="69BE808E" w14:textId="77777777" w:rsidR="008F602C" w:rsidRDefault="00AE044E" w:rsidP="008F602C">
            <w:pPr>
              <w:pStyle w:val="ECVSectionBullet"/>
              <w:numPr>
                <w:ilvl w:val="0"/>
                <w:numId w:val="2"/>
              </w:numPr>
            </w:pPr>
            <w:r>
              <w:t>Good comma</w:t>
            </w:r>
            <w:r w:rsidR="00B240C8">
              <w:t>nd of Money Laundering requirements gained as the firms M</w:t>
            </w:r>
            <w:r w:rsidR="008F602C">
              <w:t>oney Laundering Officer</w:t>
            </w:r>
          </w:p>
          <w:p w14:paraId="4C56A8B1" w14:textId="77777777" w:rsidR="008F602C" w:rsidRDefault="00AE044E" w:rsidP="008F602C">
            <w:pPr>
              <w:pStyle w:val="ECVSectionBullet"/>
              <w:numPr>
                <w:ilvl w:val="0"/>
                <w:numId w:val="2"/>
              </w:numPr>
            </w:pPr>
            <w:r>
              <w:t>Good comma</w:t>
            </w:r>
            <w:r w:rsidR="008F602C">
              <w:t xml:space="preserve">nd of General </w:t>
            </w:r>
            <w:proofErr w:type="spellStart"/>
            <w:r w:rsidR="008F602C">
              <w:t>Insurnace</w:t>
            </w:r>
            <w:proofErr w:type="spellEnd"/>
            <w:r w:rsidR="008F602C">
              <w:t xml:space="preserve"> products and sales processes</w:t>
            </w:r>
            <w:r w:rsidR="00B240C8">
              <w:t xml:space="preserve"> gained through the design and supervision of </w:t>
            </w:r>
            <w:r w:rsidR="00BC27AA">
              <w:t>this channel</w:t>
            </w:r>
            <w:r w:rsidR="00B240C8">
              <w:t xml:space="preserve"> </w:t>
            </w:r>
          </w:p>
          <w:p w14:paraId="339277BA" w14:textId="77777777" w:rsidR="00B240C8" w:rsidRDefault="008F602C" w:rsidP="00B240C8">
            <w:pPr>
              <w:pStyle w:val="ECVSectionBullet"/>
              <w:numPr>
                <w:ilvl w:val="0"/>
                <w:numId w:val="2"/>
              </w:numPr>
            </w:pPr>
            <w:r>
              <w:t>Good command of Non Investment Protection Policy products and sales processes</w:t>
            </w:r>
            <w:r w:rsidR="00B240C8">
              <w:t xml:space="preserve"> gained through the design and supervision of </w:t>
            </w:r>
            <w:r w:rsidR="00BC27AA">
              <w:t>th</w:t>
            </w:r>
            <w:r w:rsidR="003C0A06">
              <w:t>is</w:t>
            </w:r>
            <w:r w:rsidR="00BC27AA">
              <w:t xml:space="preserve"> channel</w:t>
            </w:r>
            <w:r w:rsidR="00B240C8">
              <w:t xml:space="preserve"> </w:t>
            </w:r>
          </w:p>
          <w:p w14:paraId="1507E3DA" w14:textId="77777777" w:rsidR="008F602C" w:rsidRDefault="008F602C" w:rsidP="008F602C">
            <w:pPr>
              <w:pStyle w:val="ECVSectionBullet"/>
              <w:numPr>
                <w:ilvl w:val="0"/>
                <w:numId w:val="2"/>
              </w:numPr>
            </w:pPr>
            <w:r>
              <w:t>Good comma</w:t>
            </w:r>
            <w:r w:rsidR="003C0A06">
              <w:t>n</w:t>
            </w:r>
            <w:r>
              <w:t xml:space="preserve">d of IT </w:t>
            </w:r>
            <w:proofErr w:type="gramStart"/>
            <w:r>
              <w:t xml:space="preserve">and </w:t>
            </w:r>
            <w:r w:rsidR="003C0A06">
              <w:t xml:space="preserve"> </w:t>
            </w:r>
            <w:r>
              <w:t>technology</w:t>
            </w:r>
            <w:proofErr w:type="gramEnd"/>
            <w:r>
              <w:t xml:space="preserve"> issues including design architecture</w:t>
            </w:r>
            <w:r w:rsidR="00B240C8">
              <w:t xml:space="preserve"> gained through running the firms IT Team and design and build of a bespoke, best of breed CRM and workflow system</w:t>
            </w:r>
          </w:p>
          <w:p w14:paraId="6ABCEE65" w14:textId="74335882" w:rsidR="008F602C" w:rsidRDefault="008F602C" w:rsidP="008F602C">
            <w:pPr>
              <w:pStyle w:val="ECVSectionBullet"/>
              <w:numPr>
                <w:ilvl w:val="0"/>
                <w:numId w:val="2"/>
              </w:numPr>
            </w:pPr>
            <w:r>
              <w:t xml:space="preserve">Good command of </w:t>
            </w:r>
            <w:r w:rsidR="00F6450A">
              <w:t>GDPR</w:t>
            </w:r>
            <w:r>
              <w:t xml:space="preserve"> requirement</w:t>
            </w:r>
            <w:r w:rsidR="00B240C8">
              <w:t>s as the designated Director responsible for Data Security</w:t>
            </w:r>
          </w:p>
          <w:p w14:paraId="6D128E7A" w14:textId="77777777" w:rsidR="008F602C" w:rsidRDefault="008F602C" w:rsidP="008F602C">
            <w:pPr>
              <w:pStyle w:val="ECVSectionBullet"/>
              <w:numPr>
                <w:ilvl w:val="0"/>
                <w:numId w:val="2"/>
              </w:numPr>
            </w:pPr>
            <w:r>
              <w:t>Good command of</w:t>
            </w:r>
            <w:r w:rsidR="00C4378B">
              <w:t xml:space="preserve"> </w:t>
            </w:r>
            <w:r>
              <w:t xml:space="preserve">PCIDSS requirements </w:t>
            </w:r>
          </w:p>
          <w:p w14:paraId="7BF0CCD6" w14:textId="77777777" w:rsidR="008F602C" w:rsidRDefault="008F602C" w:rsidP="008F602C">
            <w:pPr>
              <w:pStyle w:val="ECVSectionBullet"/>
              <w:ind w:left="113"/>
            </w:pPr>
          </w:p>
        </w:tc>
      </w:tr>
    </w:tbl>
    <w:p w14:paraId="754F73D5" w14:textId="77777777" w:rsidR="004440CD" w:rsidRPr="004440CD" w:rsidRDefault="004440CD" w:rsidP="004440CD">
      <w:pPr>
        <w:rPr>
          <w:caps/>
          <w:vanish/>
          <w:color w:val="0E4194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F859875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41B9E21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8E1342" w14:textId="77777777" w:rsidR="002946C7" w:rsidRDefault="0078246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085A7F7" wp14:editId="42897C0E">
                  <wp:extent cx="4781550" cy="90805"/>
                  <wp:effectExtent l="1905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13366CF0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758D9C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9FE0204" w14:textId="77777777" w:rsidR="002946C7" w:rsidRDefault="002946C7">
            <w:pPr>
              <w:pStyle w:val="ECVLeftDetails"/>
            </w:pPr>
            <w:r>
              <w:t>Publications</w:t>
            </w:r>
          </w:p>
          <w:p w14:paraId="10A00A3B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66B52471" w14:textId="77777777" w:rsidR="002946C7" w:rsidRDefault="002946C7">
            <w:pPr>
              <w:pStyle w:val="ECVLeftDetails"/>
            </w:pPr>
            <w:r>
              <w:t>Projects</w:t>
            </w:r>
          </w:p>
          <w:p w14:paraId="4E43E6EE" w14:textId="77777777" w:rsidR="002946C7" w:rsidRDefault="002946C7">
            <w:pPr>
              <w:pStyle w:val="ECVLeftDetails"/>
            </w:pPr>
            <w:r>
              <w:t>Conferences</w:t>
            </w:r>
          </w:p>
          <w:p w14:paraId="1DFF172C" w14:textId="77777777" w:rsidR="002946C7" w:rsidRDefault="002946C7">
            <w:pPr>
              <w:pStyle w:val="ECVLeftDetails"/>
            </w:pPr>
            <w:r>
              <w:t>Seminars</w:t>
            </w:r>
          </w:p>
          <w:p w14:paraId="5E28BD3D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5BF0A739" w14:textId="77777777" w:rsidR="002946C7" w:rsidRDefault="002946C7">
            <w:pPr>
              <w:pStyle w:val="ECVLeftDetails"/>
            </w:pPr>
            <w:r>
              <w:t>Memberships</w:t>
            </w:r>
          </w:p>
          <w:p w14:paraId="3A4C1C49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14E5E98C" w14:textId="77777777" w:rsidR="00C4378B" w:rsidRDefault="00C4378B" w:rsidP="00C4378B">
            <w:pPr>
              <w:pStyle w:val="ECVSectionBullet"/>
              <w:numPr>
                <w:ilvl w:val="0"/>
                <w:numId w:val="2"/>
              </w:numPr>
            </w:pPr>
            <w:r>
              <w:t>Mortgage Strategy – Winner of Mortgage Personality of the Year 2016</w:t>
            </w:r>
          </w:p>
          <w:p w14:paraId="533D6F35" w14:textId="11321580" w:rsidR="009A5A3F" w:rsidRPr="009A5A3F" w:rsidRDefault="00C4378B" w:rsidP="009A5A3F">
            <w:pPr>
              <w:pStyle w:val="ECVSectionBullet"/>
              <w:numPr>
                <w:ilvl w:val="0"/>
                <w:numId w:val="2"/>
              </w:numPr>
            </w:pPr>
            <w:r>
              <w:t>L&amp;C</w:t>
            </w:r>
            <w:r w:rsidR="009A5A3F" w:rsidRPr="009A5A3F">
              <w:t xml:space="preserve"> won over </w:t>
            </w:r>
            <w:r w:rsidR="00841F40">
              <w:t>2</w:t>
            </w:r>
            <w:r w:rsidR="00F46C9D">
              <w:t>5</w:t>
            </w:r>
            <w:r>
              <w:t>0</w:t>
            </w:r>
            <w:r w:rsidR="009A5A3F" w:rsidRPr="009A5A3F">
              <w:t xml:space="preserve"> industry awards</w:t>
            </w:r>
            <w:r w:rsidR="00841F40">
              <w:t xml:space="preserve"> </w:t>
            </w:r>
            <w:r w:rsidR="00F6450A">
              <w:t xml:space="preserve">during my time </w:t>
            </w:r>
            <w:r w:rsidR="003C0A06">
              <w:t xml:space="preserve">– </w:t>
            </w:r>
            <w:r>
              <w:t>exceeding</w:t>
            </w:r>
            <w:r w:rsidR="00A644CC">
              <w:t xml:space="preserve"> </w:t>
            </w:r>
            <w:r w:rsidR="003C0A06">
              <w:t>any other intermediary</w:t>
            </w:r>
            <w:r w:rsidR="007735D4">
              <w:t xml:space="preserve"> by far</w:t>
            </w:r>
            <w:r w:rsidR="003C0A06">
              <w:t xml:space="preserve"> </w:t>
            </w:r>
          </w:p>
          <w:p w14:paraId="76E02BCD" w14:textId="5DA8DEF8" w:rsidR="009A5A3F" w:rsidRPr="00AE044E" w:rsidRDefault="00F46C9D" w:rsidP="009A5A3F">
            <w:pPr>
              <w:pStyle w:val="ECVSectionBullet"/>
              <w:numPr>
                <w:ilvl w:val="0"/>
                <w:numId w:val="2"/>
              </w:numPr>
            </w:pPr>
            <w:r>
              <w:t xml:space="preserve">L&amp;C </w:t>
            </w:r>
            <w:r w:rsidR="009A5A3F" w:rsidRPr="009A5A3F">
              <w:t>appeared in the Sunday Times Fastrack 100 of quickest growing private companies in the UK on two occasions</w:t>
            </w:r>
          </w:p>
          <w:p w14:paraId="10FD58BA" w14:textId="77777777" w:rsidR="00FD2E0A" w:rsidRPr="00AE044E" w:rsidRDefault="00FD2E0A" w:rsidP="009A5A3F">
            <w:pPr>
              <w:pStyle w:val="ECVSectionBullet"/>
              <w:numPr>
                <w:ilvl w:val="0"/>
                <w:numId w:val="2"/>
              </w:numPr>
            </w:pPr>
            <w:r>
              <w:t xml:space="preserve">Presented at numerous industry events for many years </w:t>
            </w:r>
            <w:r w:rsidR="00693985">
              <w:t xml:space="preserve">in the UK </w:t>
            </w:r>
            <w:r>
              <w:t>including Mortgage EXPO, CML Conference</w:t>
            </w:r>
            <w:r w:rsidR="0078246F">
              <w:t>, FCA &amp; Imperial College</w:t>
            </w:r>
            <w:r>
              <w:t xml:space="preserve"> </w:t>
            </w:r>
            <w:r w:rsidR="00C4378B">
              <w:t xml:space="preserve">Mortgage Conference </w:t>
            </w:r>
            <w:r>
              <w:t xml:space="preserve">and </w:t>
            </w:r>
            <w:r w:rsidR="0078246F">
              <w:t xml:space="preserve">many </w:t>
            </w:r>
            <w:r>
              <w:t xml:space="preserve">other </w:t>
            </w:r>
            <w:r w:rsidR="00693985">
              <w:t xml:space="preserve">industry </w:t>
            </w:r>
            <w:r>
              <w:t>events</w:t>
            </w:r>
          </w:p>
          <w:p w14:paraId="624197C8" w14:textId="77777777" w:rsidR="00693985" w:rsidRPr="00693985" w:rsidRDefault="00693985" w:rsidP="009A5A3F">
            <w:pPr>
              <w:pStyle w:val="ECVSectionBullet"/>
              <w:numPr>
                <w:ilvl w:val="0"/>
                <w:numId w:val="2"/>
              </w:numPr>
            </w:pPr>
            <w:r w:rsidRPr="00693985">
              <w:t xml:space="preserve">FCA (then FSA) </w:t>
            </w:r>
            <w:r>
              <w:t>assisted as a member of various wo</w:t>
            </w:r>
            <w:r w:rsidRPr="00693985">
              <w:t>rking part</w:t>
            </w:r>
            <w:r>
              <w:t>ies</w:t>
            </w:r>
            <w:r w:rsidRPr="00693985">
              <w:t xml:space="preserve"> on the Mortgage Market Review</w:t>
            </w:r>
          </w:p>
          <w:p w14:paraId="0968C70D" w14:textId="77777777" w:rsidR="00FD2E0A" w:rsidRPr="00AE044E" w:rsidRDefault="00FD2E0A" w:rsidP="009A5A3F">
            <w:pPr>
              <w:pStyle w:val="ECVSectionBullet"/>
              <w:numPr>
                <w:ilvl w:val="0"/>
                <w:numId w:val="2"/>
              </w:numPr>
            </w:pPr>
            <w:r>
              <w:t>BIPAR -  E</w:t>
            </w:r>
            <w:r w:rsidRPr="00FD2E0A">
              <w:t xml:space="preserve">U Mortgages Directive </w:t>
            </w:r>
            <w:r w:rsidR="00693985">
              <w:t>–</w:t>
            </w:r>
            <w:r w:rsidRPr="00FD2E0A">
              <w:t xml:space="preserve"> </w:t>
            </w:r>
            <w:r w:rsidR="00693985">
              <w:t xml:space="preserve">member of </w:t>
            </w:r>
            <w:r w:rsidR="00C4378B">
              <w:t xml:space="preserve">their </w:t>
            </w:r>
            <w:r w:rsidRPr="00FD2E0A">
              <w:t>Industry Working Group</w:t>
            </w:r>
          </w:p>
          <w:p w14:paraId="13A8E6B6" w14:textId="77777777" w:rsidR="00FD2E0A" w:rsidRPr="00AE044E" w:rsidRDefault="00FD2E0A" w:rsidP="009A5A3F">
            <w:pPr>
              <w:pStyle w:val="ECVSectionBullet"/>
              <w:numPr>
                <w:ilvl w:val="0"/>
                <w:numId w:val="2"/>
              </w:numPr>
            </w:pPr>
            <w:r>
              <w:t xml:space="preserve">Jan 2012 - Presentation to EU Parliament </w:t>
            </w:r>
            <w:r w:rsidRPr="00FD2E0A">
              <w:t>workshop on responsible lending</w:t>
            </w:r>
            <w:r>
              <w:t xml:space="preserve">  </w:t>
            </w:r>
          </w:p>
          <w:p w14:paraId="51A7954E" w14:textId="77777777" w:rsidR="00AE044E" w:rsidRDefault="00FD2E0A" w:rsidP="00AE044E">
            <w:pPr>
              <w:pStyle w:val="ECVSectionBullet"/>
              <w:numPr>
                <w:ilvl w:val="0"/>
                <w:numId w:val="2"/>
              </w:numPr>
            </w:pPr>
            <w:r>
              <w:t xml:space="preserve">HMT – member of </w:t>
            </w:r>
            <w:r w:rsidRPr="00FD2E0A">
              <w:t>EU Mortgages Directive - Working Group</w:t>
            </w:r>
          </w:p>
          <w:p w14:paraId="2517AC3A" w14:textId="77777777" w:rsidR="00FD2E0A" w:rsidRPr="00AE044E" w:rsidRDefault="00FD2E0A" w:rsidP="00AE044E">
            <w:pPr>
              <w:pStyle w:val="ECVSectionBullet"/>
              <w:numPr>
                <w:ilvl w:val="0"/>
                <w:numId w:val="2"/>
              </w:numPr>
            </w:pPr>
            <w:r>
              <w:t xml:space="preserve">HMT – contributor to working group on </w:t>
            </w:r>
            <w:r w:rsidRPr="00FD2E0A">
              <w:t>Mortgage Advice for First Time Buyers</w:t>
            </w:r>
          </w:p>
          <w:p w14:paraId="1836ED36" w14:textId="59137BE4" w:rsidR="009A5A3F" w:rsidRPr="00FD2E0A" w:rsidRDefault="00CE4406" w:rsidP="00FD2E0A">
            <w:pPr>
              <w:pStyle w:val="ECVSectionBullet"/>
              <w:numPr>
                <w:ilvl w:val="0"/>
                <w:numId w:val="2"/>
              </w:numPr>
            </w:pPr>
            <w:r>
              <w:t>Became t</w:t>
            </w:r>
            <w:r w:rsidR="009A5A3F" w:rsidRPr="00FD2E0A">
              <w:t>he first elected Chairman of the Association of Mortgage Intermediaries (AMI) in 2012</w:t>
            </w:r>
          </w:p>
          <w:p w14:paraId="0E36F6AE" w14:textId="77777777" w:rsidR="00FD2E0A" w:rsidRDefault="00FD2E0A" w:rsidP="00FD2E0A">
            <w:pPr>
              <w:pStyle w:val="ECVSectionBullet"/>
              <w:numPr>
                <w:ilvl w:val="0"/>
                <w:numId w:val="2"/>
              </w:numPr>
            </w:pPr>
            <w:r w:rsidRPr="009A5A3F">
              <w:t xml:space="preserve">Top Regional Executive for UCB Bank in 1992 </w:t>
            </w:r>
          </w:p>
          <w:p w14:paraId="07BA6A91" w14:textId="5B84B012" w:rsidR="00841F40" w:rsidRDefault="00FD2E0A" w:rsidP="00841F40">
            <w:pPr>
              <w:pStyle w:val="ECVSectionBullet"/>
              <w:numPr>
                <w:ilvl w:val="0"/>
                <w:numId w:val="2"/>
              </w:numPr>
            </w:pPr>
            <w:r w:rsidRPr="009A5A3F">
              <w:t xml:space="preserve">Youngest Branch Manager for Britannia Building Society in 1989 </w:t>
            </w:r>
          </w:p>
          <w:p w14:paraId="178C8F15" w14:textId="3A380BB8" w:rsidR="00F6450A" w:rsidRDefault="00F6450A" w:rsidP="00841F40">
            <w:pPr>
              <w:pStyle w:val="ECVSectionBullet"/>
              <w:numPr>
                <w:ilvl w:val="0"/>
                <w:numId w:val="2"/>
              </w:numPr>
            </w:pPr>
            <w:r>
              <w:t>Treasurer, Trustee and Chairman of Oldfield RFC from 1994 to present</w:t>
            </w:r>
          </w:p>
          <w:p w14:paraId="13267713" w14:textId="1A226CEC" w:rsidR="00F6450A" w:rsidRDefault="00F6450A" w:rsidP="00841F40">
            <w:pPr>
              <w:pStyle w:val="ECVSectionBullet"/>
              <w:numPr>
                <w:ilvl w:val="0"/>
                <w:numId w:val="2"/>
              </w:numPr>
            </w:pPr>
            <w:r>
              <w:t>Runner Up of Outstanding contribution to Sport in Bath 2012 &amp; 2014 and West of England 2012</w:t>
            </w:r>
          </w:p>
          <w:p w14:paraId="0BBDB1C0" w14:textId="35B96616" w:rsidR="002946C7" w:rsidRDefault="002946C7" w:rsidP="00F6450A">
            <w:pPr>
              <w:pStyle w:val="ECVSectionBullet"/>
            </w:pPr>
          </w:p>
        </w:tc>
      </w:tr>
    </w:tbl>
    <w:p w14:paraId="76A7AEFC" w14:textId="77777777" w:rsidR="002946C7" w:rsidRDefault="002946C7" w:rsidP="00A644CC">
      <w:pPr>
        <w:pStyle w:val="ECVText"/>
      </w:pPr>
    </w:p>
    <w:sectPr w:rsidR="002946C7" w:rsidSect="00CE44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69DD" w14:textId="77777777" w:rsidR="0045058D" w:rsidRDefault="0045058D">
      <w:r>
        <w:separator/>
      </w:r>
    </w:p>
  </w:endnote>
  <w:endnote w:type="continuationSeparator" w:id="0">
    <w:p w14:paraId="02621DE9" w14:textId="77777777" w:rsidR="0045058D" w:rsidRDefault="004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E74A" w14:textId="77777777" w:rsidR="00F61471" w:rsidRDefault="00F61471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A4A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A4A5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C4E0" w14:textId="77777777" w:rsidR="00F61471" w:rsidRDefault="00F61471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A4A5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A4A5B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D288" w14:textId="77777777" w:rsidR="00BF4D29" w:rsidRDefault="00BF4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1D93A" w14:textId="77777777" w:rsidR="0045058D" w:rsidRDefault="0045058D">
      <w:r>
        <w:separator/>
      </w:r>
    </w:p>
  </w:footnote>
  <w:footnote w:type="continuationSeparator" w:id="0">
    <w:p w14:paraId="2CDFB992" w14:textId="77777777" w:rsidR="0045058D" w:rsidRDefault="0045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A1C3" w14:textId="77777777" w:rsidR="00F61471" w:rsidRDefault="00F61471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Patrick Bunton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226E" w14:textId="2EE9A3C3" w:rsidR="00F61471" w:rsidRDefault="00F61471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Patrick Bunton</w:t>
    </w:r>
    <w:r>
      <w:t xml:space="preserve"> </w:t>
    </w:r>
    <w:r w:rsidR="00F6450A">
      <w:t>(</w:t>
    </w:r>
    <w:r w:rsidR="00CE4406">
      <w:t>June 2020</w:t>
    </w:r>
    <w:r w:rsidR="00F6450A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4CD9" w14:textId="77777777" w:rsidR="00C4378B" w:rsidRDefault="00C43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B60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360E05FF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4" w15:restartNumberingAfterBreak="0">
    <w:nsid w:val="7DAD2E04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60560"/>
    <w:rsid w:val="00091C0E"/>
    <w:rsid w:val="001013A1"/>
    <w:rsid w:val="00125140"/>
    <w:rsid w:val="001C2A0F"/>
    <w:rsid w:val="0021675E"/>
    <w:rsid w:val="002576A5"/>
    <w:rsid w:val="00293995"/>
    <w:rsid w:val="002946C7"/>
    <w:rsid w:val="002949A1"/>
    <w:rsid w:val="00323EDF"/>
    <w:rsid w:val="00354163"/>
    <w:rsid w:val="00385585"/>
    <w:rsid w:val="003C0A06"/>
    <w:rsid w:val="00402715"/>
    <w:rsid w:val="00407D9D"/>
    <w:rsid w:val="004440CD"/>
    <w:rsid w:val="0045058D"/>
    <w:rsid w:val="004626BC"/>
    <w:rsid w:val="004734B0"/>
    <w:rsid w:val="004B31D7"/>
    <w:rsid w:val="004C6F9A"/>
    <w:rsid w:val="004D702D"/>
    <w:rsid w:val="004E1A79"/>
    <w:rsid w:val="004E28E8"/>
    <w:rsid w:val="005670A6"/>
    <w:rsid w:val="00570949"/>
    <w:rsid w:val="00693985"/>
    <w:rsid w:val="006D2085"/>
    <w:rsid w:val="007735D4"/>
    <w:rsid w:val="0078246F"/>
    <w:rsid w:val="007A248A"/>
    <w:rsid w:val="007C762E"/>
    <w:rsid w:val="008008F1"/>
    <w:rsid w:val="00810E0B"/>
    <w:rsid w:val="00841F40"/>
    <w:rsid w:val="008B72A4"/>
    <w:rsid w:val="008D06C2"/>
    <w:rsid w:val="008D17D1"/>
    <w:rsid w:val="008F602C"/>
    <w:rsid w:val="009046B1"/>
    <w:rsid w:val="009A5A3F"/>
    <w:rsid w:val="009F0FF3"/>
    <w:rsid w:val="00A02AFE"/>
    <w:rsid w:val="00A644CC"/>
    <w:rsid w:val="00A758A3"/>
    <w:rsid w:val="00AB3BFB"/>
    <w:rsid w:val="00AD1E20"/>
    <w:rsid w:val="00AE044E"/>
    <w:rsid w:val="00B240C8"/>
    <w:rsid w:val="00B41250"/>
    <w:rsid w:val="00B53595"/>
    <w:rsid w:val="00B60DB6"/>
    <w:rsid w:val="00B825A8"/>
    <w:rsid w:val="00B85B3E"/>
    <w:rsid w:val="00B93312"/>
    <w:rsid w:val="00BC27AA"/>
    <w:rsid w:val="00BD4492"/>
    <w:rsid w:val="00BF4D29"/>
    <w:rsid w:val="00C02C02"/>
    <w:rsid w:val="00C17A03"/>
    <w:rsid w:val="00C4378B"/>
    <w:rsid w:val="00CE4229"/>
    <w:rsid w:val="00CE4406"/>
    <w:rsid w:val="00D43740"/>
    <w:rsid w:val="00DA1E99"/>
    <w:rsid w:val="00DA4A5B"/>
    <w:rsid w:val="00DB3B62"/>
    <w:rsid w:val="00E807F5"/>
    <w:rsid w:val="00EB5D91"/>
    <w:rsid w:val="00F0220F"/>
    <w:rsid w:val="00F206B9"/>
    <w:rsid w:val="00F34188"/>
    <w:rsid w:val="00F46C9D"/>
    <w:rsid w:val="00F61471"/>
    <w:rsid w:val="00F6450A"/>
    <w:rsid w:val="00F648A4"/>
    <w:rsid w:val="00FA4252"/>
    <w:rsid w:val="00FA5F6D"/>
    <w:rsid w:val="00FC6C62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14474B"/>
  <w15:docId w15:val="{5573AAE1-77D4-BA47-B0AF-76178BE3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rsid w:val="004B31D7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4B31D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4B31D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B31D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B31D7"/>
  </w:style>
  <w:style w:type="character" w:customStyle="1" w:styleId="Bullets">
    <w:name w:val="Bullets"/>
    <w:rsid w:val="004B31D7"/>
    <w:rPr>
      <w:rFonts w:ascii="OpenSymbol" w:eastAsia="OpenSymbol" w:hAnsi="OpenSymbol" w:cs="OpenSymbol"/>
    </w:rPr>
  </w:style>
  <w:style w:type="character" w:styleId="LineNumber">
    <w:name w:val="line number"/>
    <w:rsid w:val="004B31D7"/>
  </w:style>
  <w:style w:type="character" w:styleId="Hyperlink">
    <w:name w:val="Hyperlink"/>
    <w:rsid w:val="004B31D7"/>
    <w:rPr>
      <w:color w:val="000080"/>
      <w:u w:val="single"/>
    </w:rPr>
  </w:style>
  <w:style w:type="character" w:customStyle="1" w:styleId="ECVInternetLink">
    <w:name w:val="_ECV_InternetLink"/>
    <w:rsid w:val="004B31D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B31D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4B31D7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4B31D7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B31D7"/>
    <w:pPr>
      <w:spacing w:line="100" w:lineRule="atLeast"/>
    </w:pPr>
  </w:style>
  <w:style w:type="paragraph" w:styleId="List">
    <w:name w:val="List"/>
    <w:basedOn w:val="BodyText"/>
    <w:rsid w:val="004B31D7"/>
  </w:style>
  <w:style w:type="paragraph" w:styleId="Caption">
    <w:name w:val="caption"/>
    <w:basedOn w:val="Normal"/>
    <w:qFormat/>
    <w:rsid w:val="004B31D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B31D7"/>
    <w:pPr>
      <w:suppressLineNumbers/>
    </w:pPr>
  </w:style>
  <w:style w:type="paragraph" w:customStyle="1" w:styleId="TableContents">
    <w:name w:val="Table Contents"/>
    <w:basedOn w:val="Normal"/>
    <w:rsid w:val="004B31D7"/>
    <w:pPr>
      <w:suppressLineNumbers/>
    </w:pPr>
  </w:style>
  <w:style w:type="paragraph" w:customStyle="1" w:styleId="TableHeading">
    <w:name w:val="Table Heading"/>
    <w:basedOn w:val="TableContents"/>
    <w:rsid w:val="004B31D7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B31D7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B31D7"/>
    <w:rPr>
      <w:color w:val="404040"/>
      <w:sz w:val="20"/>
    </w:rPr>
  </w:style>
  <w:style w:type="paragraph" w:customStyle="1" w:styleId="ECVRightColumn">
    <w:name w:val="_ECV_RightColumn"/>
    <w:basedOn w:val="TableContents"/>
    <w:rsid w:val="004B31D7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B31D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B31D7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B31D7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B31D7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B31D7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B31D7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B31D7"/>
  </w:style>
  <w:style w:type="paragraph" w:customStyle="1" w:styleId="Table">
    <w:name w:val="Table"/>
    <w:basedOn w:val="Caption"/>
    <w:rsid w:val="004B31D7"/>
  </w:style>
  <w:style w:type="paragraph" w:customStyle="1" w:styleId="ECVSubSectionHeading">
    <w:name w:val="_ECV_SubSectionHeading"/>
    <w:basedOn w:val="ECVRightColumn"/>
    <w:rsid w:val="004B31D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B31D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4B31D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B31D7"/>
    <w:pPr>
      <w:spacing w:before="0"/>
    </w:pPr>
  </w:style>
  <w:style w:type="paragraph" w:customStyle="1" w:styleId="ECVHeadingBullet">
    <w:name w:val="_ECV_HeadingBullet"/>
    <w:basedOn w:val="ECVLeftHeading"/>
    <w:rsid w:val="004B31D7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4B31D7"/>
    <w:pPr>
      <w:spacing w:before="0" w:line="100" w:lineRule="atLeast"/>
    </w:pPr>
  </w:style>
  <w:style w:type="paragraph" w:customStyle="1" w:styleId="CVMajor">
    <w:name w:val="CV Major"/>
    <w:basedOn w:val="Normal"/>
    <w:rsid w:val="004B31D7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B31D7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4B31D7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B31D7"/>
    <w:rPr>
      <w:color w:val="17ACE6"/>
    </w:rPr>
  </w:style>
  <w:style w:type="paragraph" w:styleId="Header">
    <w:name w:val="header"/>
    <w:basedOn w:val="Normal"/>
    <w:rsid w:val="004B31D7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B31D7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4B31D7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B31D7"/>
  </w:style>
  <w:style w:type="paragraph" w:customStyle="1" w:styleId="ECVLeftDetails">
    <w:name w:val="_ECV_LeftDetails"/>
    <w:basedOn w:val="ECVLeftHeading"/>
    <w:rsid w:val="004B31D7"/>
    <w:pPr>
      <w:spacing w:before="23"/>
    </w:pPr>
    <w:rPr>
      <w:caps w:val="0"/>
    </w:rPr>
  </w:style>
  <w:style w:type="paragraph" w:styleId="Footer">
    <w:name w:val="footer"/>
    <w:basedOn w:val="Normal"/>
    <w:rsid w:val="004B31D7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B31D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B31D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B31D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B31D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B31D7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B31D7"/>
    <w:rPr>
      <w:u w:val="single"/>
    </w:rPr>
  </w:style>
  <w:style w:type="paragraph" w:customStyle="1" w:styleId="ECVText">
    <w:name w:val="_ECV_Text"/>
    <w:basedOn w:val="BodyText"/>
    <w:rsid w:val="004B31D7"/>
  </w:style>
  <w:style w:type="paragraph" w:customStyle="1" w:styleId="ECVBusinessSector">
    <w:name w:val="_ECV_BusinessSector"/>
    <w:basedOn w:val="ECVOrganisationDetails"/>
    <w:rsid w:val="004B31D7"/>
    <w:pPr>
      <w:spacing w:before="113" w:after="0"/>
    </w:pPr>
  </w:style>
  <w:style w:type="paragraph" w:customStyle="1" w:styleId="ECVLanguageName">
    <w:name w:val="_ECV_LanguageName"/>
    <w:basedOn w:val="ECVLanguageCertificate"/>
    <w:rsid w:val="004B31D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B31D7"/>
    <w:pPr>
      <w:spacing w:before="57"/>
    </w:pPr>
  </w:style>
  <w:style w:type="paragraph" w:customStyle="1" w:styleId="ECVOccupationalFieldHeading">
    <w:name w:val="_ECV_OccupationalFieldHeading"/>
    <w:basedOn w:val="ECVLeftHeading"/>
    <w:rsid w:val="004B31D7"/>
    <w:pPr>
      <w:spacing w:before="57"/>
    </w:pPr>
  </w:style>
  <w:style w:type="paragraph" w:customStyle="1" w:styleId="ECVGenderRow">
    <w:name w:val="_ECV_GenderRow"/>
    <w:basedOn w:val="Normal"/>
    <w:rsid w:val="004B31D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B31D7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4B31D7"/>
  </w:style>
  <w:style w:type="paragraph" w:customStyle="1" w:styleId="ECVBusinessSectorRow">
    <w:name w:val="_ECV_BusinessSectorRow"/>
    <w:basedOn w:val="Normal"/>
    <w:rsid w:val="004B31D7"/>
  </w:style>
  <w:style w:type="paragraph" w:customStyle="1" w:styleId="ECVBlueBox">
    <w:name w:val="_ECV_BlueBox"/>
    <w:basedOn w:val="ECVNarrowSpacing"/>
    <w:rsid w:val="004B31D7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B31D7"/>
  </w:style>
  <w:style w:type="paragraph" w:customStyle="1" w:styleId="ESPText">
    <w:name w:val="_ESP_Text"/>
    <w:basedOn w:val="ECVText"/>
    <w:rsid w:val="004B31D7"/>
  </w:style>
  <w:style w:type="paragraph" w:customStyle="1" w:styleId="ESPHeading">
    <w:name w:val="_ESP_Heading"/>
    <w:basedOn w:val="ESPText"/>
    <w:rsid w:val="004B31D7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4B31D7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4B31D7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B31D7"/>
  </w:style>
  <w:style w:type="character" w:styleId="CommentReference">
    <w:name w:val="annotation reference"/>
    <w:uiPriority w:val="99"/>
    <w:semiHidden/>
    <w:unhideWhenUsed/>
    <w:rsid w:val="00E80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F5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E807F5"/>
    <w:rPr>
      <w:rFonts w:ascii="Arial" w:eastAsia="SimSun" w:hAnsi="Arial" w:cs="Mangal"/>
      <w:color w:val="3F3A38"/>
      <w:spacing w:val="-6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7F5"/>
    <w:rPr>
      <w:rFonts w:ascii="Arial" w:eastAsia="SimSun" w:hAnsi="Arial" w:cs="Mangal"/>
      <w:b/>
      <w:bCs/>
      <w:color w:val="3F3A38"/>
      <w:spacing w:val="-6"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F5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807F5"/>
    <w:rPr>
      <w:rFonts w:ascii="Tahoma" w:eastAsia="SimSun" w:hAnsi="Tahoma" w:cs="Mangal"/>
      <w:color w:val="3F3A38"/>
      <w:spacing w:val="-6"/>
      <w:kern w:val="1"/>
      <w:sz w:val="16"/>
      <w:szCs w:val="1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-m-i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hauz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9EA5-D86D-3C4B-A1F7-2EC8D8BD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10067</CharactersWithSpaces>
  <SharedDoc>false</SharedDoc>
  <HLinks>
    <vt:vector size="12" baseType="variant">
      <vt:variant>
        <vt:i4>1835081</vt:i4>
      </vt:variant>
      <vt:variant>
        <vt:i4>6</vt:i4>
      </vt:variant>
      <vt:variant>
        <vt:i4>0</vt:i4>
      </vt:variant>
      <vt:variant>
        <vt:i4>5</vt:i4>
      </vt:variant>
      <vt:variant>
        <vt:lpwstr>http://www.a-m-i.org.uk/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http://www.lcplc.co.uk/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Peter  Kleisen</dc:creator>
  <cp:keywords>Europass, CV, Cedefop</cp:keywords>
  <dc:description>Europass CV</dc:description>
  <cp:lastModifiedBy>Patrick Bunton</cp:lastModifiedBy>
  <cp:revision>3</cp:revision>
  <cp:lastPrinted>1901-01-01T00:00:00Z</cp:lastPrinted>
  <dcterms:created xsi:type="dcterms:W3CDTF">2020-09-11T18:08:00Z</dcterms:created>
  <dcterms:modified xsi:type="dcterms:W3CDTF">2020-09-11T18:10:00Z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