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765" w:val="left" w:leader="none"/>
          <w:tab w:pos="9908" w:val="left" w:leader="none"/>
        </w:tabs>
        <w:spacing w:line="550" w:lineRule="exact" w:before="56"/>
        <w:ind w:left="410" w:right="0" w:firstLine="0"/>
        <w:jc w:val="left"/>
        <w:rPr>
          <w:b/>
          <w:sz w:val="38"/>
        </w:rPr>
      </w:pPr>
      <w:r>
        <w:rPr>
          <w:b/>
          <w:sz w:val="48"/>
          <w:shd w:fill="F3F3F3" w:color="auto" w:val="clear"/>
        </w:rPr>
        <w:t> </w:t>
        <w:tab/>
        <w:t>N</w:t>
      </w:r>
      <w:r>
        <w:rPr>
          <w:b/>
          <w:sz w:val="38"/>
          <w:shd w:fill="F3F3F3" w:color="auto" w:val="clear"/>
        </w:rPr>
        <w:t>ICHOLAS </w:t>
      </w:r>
      <w:r>
        <w:rPr>
          <w:b/>
          <w:sz w:val="48"/>
          <w:shd w:fill="F3F3F3" w:color="auto" w:val="clear"/>
        </w:rPr>
        <w:t>C</w:t>
      </w:r>
      <w:r>
        <w:rPr>
          <w:b/>
          <w:sz w:val="38"/>
          <w:shd w:fill="F3F3F3" w:color="auto" w:val="clear"/>
        </w:rPr>
        <w:t>HARLES</w:t>
      </w:r>
      <w:r>
        <w:rPr>
          <w:b/>
          <w:spacing w:val="-6"/>
          <w:sz w:val="38"/>
          <w:shd w:fill="F3F3F3" w:color="auto" w:val="clear"/>
        </w:rPr>
        <w:t> </w:t>
      </w:r>
      <w:r>
        <w:rPr>
          <w:b/>
          <w:sz w:val="48"/>
          <w:shd w:fill="F3F3F3" w:color="auto" w:val="clear"/>
        </w:rPr>
        <w:t>B</w:t>
      </w:r>
      <w:r>
        <w:rPr>
          <w:b/>
          <w:sz w:val="38"/>
          <w:shd w:fill="F3F3F3" w:color="auto" w:val="clear"/>
        </w:rPr>
        <w:t>EECROFT</w:t>
        <w:tab/>
      </w:r>
    </w:p>
    <w:p>
      <w:pPr>
        <w:spacing w:line="242" w:lineRule="auto" w:before="0"/>
        <w:ind w:left="3660" w:right="2414" w:hanging="1016"/>
        <w:jc w:val="left"/>
        <w:rPr>
          <w:rFonts w:ascii="Segoe UI"/>
          <w:sz w:val="18"/>
        </w:rPr>
      </w:pPr>
      <w:r>
        <w:rPr>
          <w:sz w:val="22"/>
        </w:rPr>
        <w:t>M: +44 (0)7770 431147 E: </w:t>
      </w:r>
      <w:hyperlink r:id="rId5">
        <w:r>
          <w:rPr>
            <w:color w:val="0000FF"/>
            <w:sz w:val="22"/>
            <w:u w:val="single" w:color="0000FF"/>
          </w:rPr>
          <w:t>nbeecroft1@btinternet.com</w:t>
        </w:r>
      </w:hyperlink>
      <w:r>
        <w:rPr>
          <w:color w:val="0000FF"/>
          <w:sz w:val="22"/>
        </w:rPr>
        <w:t> </w:t>
      </w:r>
      <w:r>
        <w:rPr>
          <w:color w:val="000009"/>
          <w:sz w:val="22"/>
        </w:rPr>
        <w:t>LI: </w:t>
      </w:r>
      <w:hyperlink r:id="rId6">
        <w:r>
          <w:rPr>
            <w:rFonts w:ascii="Segoe UI"/>
            <w:sz w:val="18"/>
          </w:rPr>
          <w:t>www.linkedin.com/in/nickbeecroft</w:t>
        </w:r>
      </w:hyperlink>
    </w:p>
    <w:p>
      <w:pPr>
        <w:pStyle w:val="BodyText"/>
        <w:spacing w:line="248" w:lineRule="exact"/>
        <w:ind w:left="1494"/>
      </w:pPr>
      <w:r>
        <w:rPr>
          <w:color w:val="000009"/>
        </w:rPr>
        <w:t>A: Trent House, London Road, Balcombe, Haywards Heath, W.Sussex, RH17 6HT</w:t>
      </w:r>
    </w:p>
    <w:p>
      <w:pPr>
        <w:pStyle w:val="BodyText"/>
        <w:spacing w:before="9"/>
        <w:rPr>
          <w:sz w:val="21"/>
        </w:rPr>
      </w:pPr>
    </w:p>
    <w:p>
      <w:pPr>
        <w:pStyle w:val="BodyText"/>
        <w:spacing w:before="1"/>
        <w:ind w:left="1278" w:right="241"/>
        <w:jc w:val="both"/>
      </w:pPr>
      <w:r>
        <w:rPr/>
        <w:t>I am a Senior Independent Director, Chairman, Committee Member, and Founder with over twenty seven years of executive and board level experience in the banking and finance industry. At board level some highlights include experience as </w:t>
      </w:r>
      <w:r>
        <w:rPr>
          <w:color w:val="000009"/>
        </w:rPr>
        <w:t>Senior Independent Director and Chair of the Remuneration and Nominations Committee with Crown Agents Bank Limited, and Senior Independent Director and Chair of the Audit and Risk Committee with the National Bank of Egypt in the UK. In these roles I have provided expert advice to guide the transformation of the business model and develop long term sustainable business strategies. I also have experience as a Non-Executive Chairman for GKFX Financial Services Limited and Saxo Capital Markets UK.</w:t>
      </w:r>
    </w:p>
    <w:p>
      <w:pPr>
        <w:pStyle w:val="BodyText"/>
        <w:ind w:left="1278" w:right="240"/>
        <w:jc w:val="both"/>
      </w:pPr>
      <w:r>
        <w:rPr/>
        <w:t>In an executive capacity I was most recently the Founder and Chief Investment Officer </w:t>
      </w:r>
      <w:r>
        <w:rPr>
          <w:color w:val="000009"/>
        </w:rPr>
        <w:t>of a discretionary hedge fund focused on exchange-traded interest rate futures and options. At Standard Chartered Bank I was a Senior Banker, managing five of the largest UK-based hedge funds, working with CEO’s, owners/founders, and COO’s, increasing revenues eightfold from 2006 to 2008 and, as Global Head of Foreign Exchange trading from 2003 to 2006, I increased revenues by 133%. I was Citibank UK Treasurer at the age of 33, with responsibility for £30bn balance sheet, including mortgages, personal loans and car finance.</w:t>
      </w:r>
    </w:p>
    <w:p>
      <w:pPr>
        <w:pStyle w:val="BodyText"/>
        <w:ind w:left="1221"/>
      </w:pPr>
      <w:r>
        <w:rPr/>
        <w:t>Finally, I have a Master of Arts in Physics from Oxford University.</w:t>
      </w:r>
    </w:p>
    <w:p>
      <w:pPr>
        <w:pStyle w:val="BodyText"/>
        <w:spacing w:before="1"/>
        <w:rPr>
          <w:sz w:val="23"/>
        </w:rPr>
      </w:pPr>
    </w:p>
    <w:tbl>
      <w:tblPr>
        <w:tblW w:w="0" w:type="auto"/>
        <w:jc w:val="left"/>
        <w:tblInd w:w="4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369"/>
        <w:gridCol w:w="4685"/>
        <w:gridCol w:w="2445"/>
      </w:tblGrid>
      <w:tr>
        <w:trPr>
          <w:trHeight w:val="313" w:hRule="atLeast"/>
        </w:trPr>
        <w:tc>
          <w:tcPr>
            <w:tcW w:w="2369" w:type="dxa"/>
          </w:tcPr>
          <w:p>
            <w:pPr>
              <w:pStyle w:val="TableParagraph"/>
              <w:rPr>
                <w:sz w:val="22"/>
              </w:rPr>
            </w:pPr>
          </w:p>
        </w:tc>
        <w:tc>
          <w:tcPr>
            <w:tcW w:w="4685" w:type="dxa"/>
            <w:shd w:val="clear" w:color="auto" w:fill="F3F3F3"/>
          </w:tcPr>
          <w:p>
            <w:pPr>
              <w:pStyle w:val="TableParagraph"/>
              <w:tabs>
                <w:tab w:pos="368" w:val="left" w:leader="none"/>
                <w:tab w:pos="7075" w:val="left" w:leader="none"/>
              </w:tabs>
              <w:spacing w:line="293" w:lineRule="exact"/>
              <w:ind w:left="-2285" w:right="-2391"/>
              <w:rPr>
                <w:b/>
                <w:sz w:val="22"/>
              </w:rPr>
            </w:pPr>
            <w:r>
              <w:rPr>
                <w:b/>
                <w:w w:val="100"/>
                <w:sz w:val="28"/>
                <w:shd w:fill="F3F3F3" w:color="auto" w:val="clear"/>
              </w:rPr>
              <w:t> </w:t>
            </w:r>
            <w:r>
              <w:rPr>
                <w:b/>
                <w:sz w:val="28"/>
                <w:shd w:fill="F3F3F3" w:color="auto" w:val="clear"/>
              </w:rPr>
              <w:tab/>
              <w:t>B</w:t>
            </w:r>
            <w:r>
              <w:rPr>
                <w:b/>
                <w:sz w:val="22"/>
                <w:shd w:fill="F3F3F3" w:color="auto" w:val="clear"/>
              </w:rPr>
              <w:t>OARD </w:t>
            </w:r>
            <w:r>
              <w:rPr>
                <w:b/>
                <w:sz w:val="28"/>
                <w:shd w:fill="F3F3F3" w:color="auto" w:val="clear"/>
              </w:rPr>
              <w:t>&amp; E</w:t>
            </w:r>
            <w:r>
              <w:rPr>
                <w:b/>
                <w:sz w:val="22"/>
                <w:shd w:fill="F3F3F3" w:color="auto" w:val="clear"/>
              </w:rPr>
              <w:t>XECUTIVE</w:t>
            </w:r>
            <w:r>
              <w:rPr>
                <w:b/>
                <w:spacing w:val="-30"/>
                <w:sz w:val="22"/>
                <w:shd w:fill="F3F3F3" w:color="auto" w:val="clear"/>
              </w:rPr>
              <w:t> </w:t>
            </w:r>
            <w:r>
              <w:rPr>
                <w:b/>
                <w:sz w:val="28"/>
                <w:shd w:fill="F3F3F3" w:color="auto" w:val="clear"/>
              </w:rPr>
              <w:t>S</w:t>
            </w:r>
            <w:r>
              <w:rPr>
                <w:b/>
                <w:sz w:val="22"/>
                <w:shd w:fill="F3F3F3" w:color="auto" w:val="clear"/>
              </w:rPr>
              <w:t>UCCESSES</w:t>
              <w:tab/>
            </w:r>
          </w:p>
        </w:tc>
        <w:tc>
          <w:tcPr>
            <w:tcW w:w="2445" w:type="dxa"/>
          </w:tcPr>
          <w:p>
            <w:pPr>
              <w:pStyle w:val="TableParagraph"/>
              <w:rPr>
                <w:sz w:val="22"/>
              </w:rPr>
            </w:pPr>
          </w:p>
        </w:tc>
      </w:tr>
    </w:tbl>
    <w:p>
      <w:pPr>
        <w:pStyle w:val="BodyText"/>
        <w:spacing w:before="7"/>
        <w:rPr>
          <w:sz w:val="21"/>
        </w:rPr>
      </w:pPr>
    </w:p>
    <w:p>
      <w:pPr>
        <w:pStyle w:val="ListParagraph"/>
        <w:numPr>
          <w:ilvl w:val="0"/>
          <w:numId w:val="1"/>
        </w:numPr>
        <w:tabs>
          <w:tab w:pos="1279" w:val="left" w:leader="none"/>
        </w:tabs>
        <w:spacing w:line="240" w:lineRule="auto" w:before="0" w:after="0"/>
        <w:ind w:left="1278" w:right="248" w:hanging="360"/>
        <w:jc w:val="both"/>
        <w:rPr>
          <w:rFonts w:ascii="Symbol" w:hAnsi="Symbol"/>
          <w:color w:val="000009"/>
          <w:sz w:val="22"/>
        </w:rPr>
      </w:pPr>
      <w:r>
        <w:rPr>
          <w:sz w:val="22"/>
        </w:rPr>
        <w:t>A Senior Independent Director, Chairman, Committee Member, Founder and Chief Executive Officer with over 20 years executive and board level experience across the public and commercial sectors with particular experience in the banking and finance</w:t>
      </w:r>
      <w:r>
        <w:rPr>
          <w:spacing w:val="-19"/>
          <w:sz w:val="22"/>
        </w:rPr>
        <w:t> </w:t>
      </w:r>
      <w:r>
        <w:rPr>
          <w:sz w:val="22"/>
        </w:rPr>
        <w:t>industry.</w:t>
      </w:r>
    </w:p>
    <w:p>
      <w:pPr>
        <w:pStyle w:val="ListParagraph"/>
        <w:numPr>
          <w:ilvl w:val="0"/>
          <w:numId w:val="1"/>
        </w:numPr>
        <w:tabs>
          <w:tab w:pos="1279" w:val="left" w:leader="none"/>
        </w:tabs>
        <w:spacing w:line="240" w:lineRule="auto" w:before="0" w:after="0"/>
        <w:ind w:left="1278" w:right="242" w:hanging="360"/>
        <w:jc w:val="both"/>
        <w:rPr>
          <w:rFonts w:ascii="Symbol" w:hAnsi="Symbol"/>
          <w:color w:val="000009"/>
          <w:sz w:val="22"/>
        </w:rPr>
      </w:pPr>
      <w:r>
        <w:rPr>
          <w:color w:val="000009"/>
          <w:sz w:val="22"/>
        </w:rPr>
        <w:t>Global managerial roles within large multinational banks-Citibank, Deutsche Bank and Standard Chartered Bank with an expertise in interest rate and foreign exchange markets throughout. Frequent Board level</w:t>
      </w:r>
      <w:r>
        <w:rPr>
          <w:color w:val="000009"/>
          <w:spacing w:val="-5"/>
          <w:sz w:val="22"/>
        </w:rPr>
        <w:t> </w:t>
      </w:r>
      <w:r>
        <w:rPr>
          <w:color w:val="000009"/>
          <w:sz w:val="22"/>
        </w:rPr>
        <w:t>interaction.</w:t>
      </w:r>
    </w:p>
    <w:p>
      <w:pPr>
        <w:pStyle w:val="ListParagraph"/>
        <w:numPr>
          <w:ilvl w:val="0"/>
          <w:numId w:val="1"/>
        </w:numPr>
        <w:tabs>
          <w:tab w:pos="1279" w:val="left" w:leader="none"/>
        </w:tabs>
        <w:spacing w:line="240" w:lineRule="auto" w:before="0" w:after="0"/>
        <w:ind w:left="1278" w:right="242" w:hanging="360"/>
        <w:jc w:val="both"/>
        <w:rPr>
          <w:rFonts w:ascii="Symbol" w:hAnsi="Symbol"/>
          <w:color w:val="000009"/>
          <w:sz w:val="22"/>
        </w:rPr>
      </w:pPr>
      <w:r>
        <w:rPr>
          <w:color w:val="000009"/>
          <w:sz w:val="22"/>
        </w:rPr>
        <w:t>Citibank UK Treasurer at the age of 33, with responsibility for £30bn balance sheet, including mortgages, personal loans and car</w:t>
      </w:r>
      <w:r>
        <w:rPr>
          <w:color w:val="000009"/>
          <w:spacing w:val="-2"/>
          <w:sz w:val="22"/>
        </w:rPr>
        <w:t> </w:t>
      </w:r>
      <w:r>
        <w:rPr>
          <w:color w:val="000009"/>
          <w:sz w:val="22"/>
        </w:rPr>
        <w:t>finance.</w:t>
      </w:r>
    </w:p>
    <w:p>
      <w:pPr>
        <w:pStyle w:val="ListParagraph"/>
        <w:numPr>
          <w:ilvl w:val="0"/>
          <w:numId w:val="1"/>
        </w:numPr>
        <w:tabs>
          <w:tab w:pos="1279" w:val="left" w:leader="none"/>
        </w:tabs>
        <w:spacing w:line="240" w:lineRule="auto" w:before="0" w:after="0"/>
        <w:ind w:left="1278" w:right="244" w:hanging="360"/>
        <w:jc w:val="both"/>
        <w:rPr>
          <w:rFonts w:ascii="Symbol" w:hAnsi="Symbol"/>
          <w:color w:val="000009"/>
          <w:sz w:val="22"/>
        </w:rPr>
      </w:pPr>
      <w:r>
        <w:rPr>
          <w:color w:val="000009"/>
          <w:sz w:val="22"/>
        </w:rPr>
        <w:t>Chosen for Senior Banker role at Standard Chartered-an elite global team of twenty, looking after the bank’s top one hundred corporate and institutional</w:t>
      </w:r>
      <w:r>
        <w:rPr>
          <w:color w:val="000009"/>
          <w:spacing w:val="-9"/>
          <w:sz w:val="22"/>
        </w:rPr>
        <w:t> </w:t>
      </w:r>
      <w:r>
        <w:rPr>
          <w:color w:val="000009"/>
          <w:sz w:val="22"/>
        </w:rPr>
        <w:t>clients.</w:t>
      </w:r>
    </w:p>
    <w:p>
      <w:pPr>
        <w:pStyle w:val="ListParagraph"/>
        <w:numPr>
          <w:ilvl w:val="0"/>
          <w:numId w:val="1"/>
        </w:numPr>
        <w:tabs>
          <w:tab w:pos="1279" w:val="left" w:leader="none"/>
        </w:tabs>
        <w:spacing w:line="240" w:lineRule="auto" w:before="0" w:after="0"/>
        <w:ind w:left="1278" w:right="247" w:hanging="360"/>
        <w:jc w:val="both"/>
        <w:rPr>
          <w:rFonts w:ascii="Symbol" w:hAnsi="Symbol"/>
          <w:color w:val="000009"/>
          <w:sz w:val="22"/>
        </w:rPr>
      </w:pPr>
      <w:r>
        <w:rPr>
          <w:color w:val="000009"/>
          <w:sz w:val="22"/>
        </w:rPr>
        <w:t>As SID and Chair of the Remuneration and Nominations Committee, I sourced and recruited two NED’s at Crown Agents Bank, one of whom went on to become their very successful</w:t>
      </w:r>
      <w:r>
        <w:rPr>
          <w:color w:val="000009"/>
          <w:spacing w:val="-27"/>
          <w:sz w:val="22"/>
        </w:rPr>
        <w:t> </w:t>
      </w:r>
      <w:r>
        <w:rPr>
          <w:color w:val="000009"/>
          <w:sz w:val="22"/>
        </w:rPr>
        <w:t>CEO.</w:t>
      </w:r>
    </w:p>
    <w:p>
      <w:pPr>
        <w:pStyle w:val="ListParagraph"/>
        <w:numPr>
          <w:ilvl w:val="0"/>
          <w:numId w:val="1"/>
        </w:numPr>
        <w:tabs>
          <w:tab w:pos="1279" w:val="left" w:leader="none"/>
        </w:tabs>
        <w:spacing w:line="240" w:lineRule="auto" w:before="0" w:after="0"/>
        <w:ind w:left="1278" w:right="239" w:hanging="360"/>
        <w:jc w:val="both"/>
        <w:rPr>
          <w:rFonts w:ascii="Symbol" w:hAnsi="Symbol"/>
          <w:color w:val="000009"/>
          <w:sz w:val="22"/>
        </w:rPr>
      </w:pPr>
      <w:r>
        <w:rPr>
          <w:color w:val="000009"/>
          <w:sz w:val="22"/>
        </w:rPr>
        <w:t>Played a key role in Crown Agents Bank’s rapid and significant improvement in profitability including, inter alia, provision of detailed advice on asset and liability management techniques, and on their foreign exchange</w:t>
      </w:r>
      <w:r>
        <w:rPr>
          <w:color w:val="000009"/>
          <w:spacing w:val="-5"/>
          <w:sz w:val="22"/>
        </w:rPr>
        <w:t> </w:t>
      </w:r>
      <w:r>
        <w:rPr>
          <w:color w:val="000009"/>
          <w:sz w:val="22"/>
        </w:rPr>
        <w:t>business.</w:t>
      </w:r>
    </w:p>
    <w:p>
      <w:pPr>
        <w:pStyle w:val="ListParagraph"/>
        <w:numPr>
          <w:ilvl w:val="0"/>
          <w:numId w:val="1"/>
        </w:numPr>
        <w:tabs>
          <w:tab w:pos="1279" w:val="left" w:leader="none"/>
        </w:tabs>
        <w:spacing w:line="240" w:lineRule="auto" w:before="0" w:after="0"/>
        <w:ind w:left="1278" w:right="248" w:hanging="360"/>
        <w:jc w:val="both"/>
        <w:rPr>
          <w:rFonts w:ascii="Symbol" w:hAnsi="Symbol"/>
          <w:color w:val="000009"/>
          <w:sz w:val="22"/>
        </w:rPr>
      </w:pPr>
      <w:r>
        <w:rPr>
          <w:color w:val="000009"/>
          <w:sz w:val="22"/>
        </w:rPr>
        <w:t>As Chair of Saxo Capital Markets UK, I guided the firm through its transition from branch to subsidiary status, with the accompanying change in lead regulator from the Danish FSA to the UK FCA.</w:t>
      </w:r>
    </w:p>
    <w:p>
      <w:pPr>
        <w:spacing w:after="0" w:line="240" w:lineRule="auto"/>
        <w:jc w:val="both"/>
        <w:rPr>
          <w:rFonts w:ascii="Symbol" w:hAnsi="Symbol"/>
          <w:sz w:val="22"/>
        </w:rPr>
        <w:sectPr>
          <w:type w:val="continuous"/>
          <w:pgSz w:w="11900" w:h="16850"/>
          <w:pgMar w:top="940" w:bottom="280" w:left="860" w:right="1020"/>
        </w:sectPr>
      </w:pPr>
    </w:p>
    <w:p>
      <w:pPr>
        <w:pStyle w:val="BodyText"/>
        <w:spacing w:before="2" w:after="1"/>
        <w:rPr>
          <w:sz w:val="20"/>
        </w:rPr>
      </w:pPr>
    </w:p>
    <w:tbl>
      <w:tblPr>
        <w:tblW w:w="0" w:type="auto"/>
        <w:jc w:val="left"/>
        <w:tblInd w:w="5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696"/>
        <w:gridCol w:w="5968"/>
        <w:gridCol w:w="1594"/>
      </w:tblGrid>
      <w:tr>
        <w:trPr>
          <w:trHeight w:val="540" w:hRule="atLeast"/>
        </w:trPr>
        <w:tc>
          <w:tcPr>
            <w:tcW w:w="1696" w:type="dxa"/>
            <w:shd w:val="clear" w:color="auto" w:fill="F3F3F3"/>
          </w:tcPr>
          <w:p>
            <w:pPr>
              <w:pStyle w:val="TableParagraph"/>
              <w:tabs>
                <w:tab w:pos="1380" w:val="left" w:leader="none"/>
              </w:tabs>
              <w:spacing w:line="320" w:lineRule="exact"/>
              <w:ind w:left="115"/>
              <w:rPr>
                <w:b/>
                <w:sz w:val="28"/>
              </w:rPr>
            </w:pPr>
            <w:r>
              <w:rPr>
                <w:b/>
                <w:w w:val="100"/>
                <w:sz w:val="28"/>
                <w:u w:val="single" w:color="575757"/>
              </w:rPr>
              <w:t> </w:t>
            </w:r>
            <w:r>
              <w:rPr>
                <w:b/>
                <w:sz w:val="28"/>
                <w:u w:val="single" w:color="575757"/>
              </w:rPr>
              <w:tab/>
            </w:r>
          </w:p>
        </w:tc>
        <w:tc>
          <w:tcPr>
            <w:tcW w:w="5968" w:type="dxa"/>
            <w:shd w:val="clear" w:color="auto" w:fill="F3F3F3"/>
          </w:tcPr>
          <w:p>
            <w:pPr>
              <w:pStyle w:val="TableParagraph"/>
              <w:spacing w:line="320" w:lineRule="exact"/>
              <w:ind w:left="380"/>
              <w:rPr>
                <w:b/>
                <w:sz w:val="22"/>
              </w:rPr>
            </w:pPr>
            <w:r>
              <w:rPr>
                <w:b/>
                <w:sz w:val="28"/>
              </w:rPr>
              <w:t>N</w:t>
            </w:r>
            <w:r>
              <w:rPr>
                <w:b/>
                <w:sz w:val="22"/>
              </w:rPr>
              <w:t>ON </w:t>
            </w:r>
            <w:r>
              <w:rPr>
                <w:b/>
                <w:sz w:val="28"/>
              </w:rPr>
              <w:t>E</w:t>
            </w:r>
            <w:r>
              <w:rPr>
                <w:b/>
                <w:sz w:val="22"/>
              </w:rPr>
              <w:t>XECUTIVE </w:t>
            </w:r>
            <w:r>
              <w:rPr>
                <w:b/>
                <w:sz w:val="28"/>
              </w:rPr>
              <w:t>&amp; C</w:t>
            </w:r>
            <w:r>
              <w:rPr>
                <w:b/>
                <w:sz w:val="22"/>
              </w:rPr>
              <w:t>OMMITTEE </w:t>
            </w:r>
            <w:r>
              <w:rPr>
                <w:b/>
                <w:sz w:val="28"/>
              </w:rPr>
              <w:t>E</w:t>
            </w:r>
            <w:r>
              <w:rPr>
                <w:b/>
                <w:sz w:val="22"/>
              </w:rPr>
              <w:t>XPERIENCE</w:t>
            </w:r>
          </w:p>
        </w:tc>
        <w:tc>
          <w:tcPr>
            <w:tcW w:w="1594" w:type="dxa"/>
            <w:shd w:val="clear" w:color="auto" w:fill="F3F3F3"/>
          </w:tcPr>
          <w:p>
            <w:pPr>
              <w:pStyle w:val="TableParagraph"/>
              <w:tabs>
                <w:tab w:pos="1320" w:val="left" w:leader="none"/>
              </w:tabs>
              <w:spacing w:before="54"/>
              <w:ind w:left="310"/>
              <w:rPr>
                <w:b/>
                <w:sz w:val="22"/>
              </w:rPr>
            </w:pPr>
            <w:r>
              <w:rPr>
                <w:b/>
                <w:w w:val="100"/>
                <w:sz w:val="22"/>
                <w:u w:val="single" w:color="575757"/>
              </w:rPr>
              <w:t> </w:t>
            </w:r>
            <w:r>
              <w:rPr>
                <w:b/>
                <w:sz w:val="22"/>
                <w:u w:val="single" w:color="575757"/>
              </w:rPr>
              <w:tab/>
            </w:r>
          </w:p>
        </w:tc>
      </w:tr>
    </w:tbl>
    <w:p>
      <w:pPr>
        <w:pStyle w:val="BodyText"/>
        <w:spacing w:before="4"/>
        <w:rPr>
          <w:sz w:val="13"/>
        </w:rPr>
      </w:pPr>
    </w:p>
    <w:p>
      <w:pPr>
        <w:tabs>
          <w:tab w:pos="4024" w:val="left" w:leader="none"/>
        </w:tabs>
        <w:spacing w:before="92"/>
        <w:ind w:left="558" w:right="0" w:firstLine="0"/>
        <w:jc w:val="left"/>
        <w:rPr>
          <w:b/>
          <w:sz w:val="22"/>
        </w:rPr>
      </w:pPr>
      <w:r>
        <w:rPr>
          <w:sz w:val="22"/>
        </w:rPr>
        <w:t>June </w:t>
      </w:r>
      <w:r>
        <w:rPr>
          <w:b/>
          <w:sz w:val="22"/>
        </w:rPr>
        <w:t>2019 –</w:t>
      </w:r>
      <w:r>
        <w:rPr>
          <w:b/>
          <w:spacing w:val="-2"/>
          <w:sz w:val="22"/>
        </w:rPr>
        <w:t> </w:t>
      </w:r>
      <w:r>
        <w:rPr>
          <w:b/>
          <w:sz w:val="22"/>
        </w:rPr>
        <w:t>to date</w:t>
        <w:tab/>
        <w:t>Ambassador</w:t>
      </w:r>
    </w:p>
    <w:p>
      <w:pPr>
        <w:pStyle w:val="BodyText"/>
        <w:spacing w:before="5"/>
        <w:rPr>
          <w:b/>
        </w:rPr>
      </w:pPr>
    </w:p>
    <w:p>
      <w:pPr>
        <w:spacing w:line="252" w:lineRule="exact" w:before="0"/>
        <w:ind w:left="558" w:right="0" w:firstLine="0"/>
        <w:jc w:val="left"/>
        <w:rPr>
          <w:b/>
          <w:sz w:val="22"/>
        </w:rPr>
      </w:pPr>
      <w:r>
        <w:rPr>
          <w:b/>
          <w:sz w:val="22"/>
        </w:rPr>
        <w:t>Themis Financial Crime Agency</w:t>
      </w:r>
    </w:p>
    <w:p>
      <w:pPr>
        <w:pStyle w:val="ListParagraph"/>
        <w:numPr>
          <w:ilvl w:val="0"/>
          <w:numId w:val="1"/>
        </w:numPr>
        <w:tabs>
          <w:tab w:pos="1278" w:val="left" w:leader="none"/>
          <w:tab w:pos="1279" w:val="left" w:leader="none"/>
        </w:tabs>
        <w:spacing w:line="335" w:lineRule="exact" w:before="0" w:after="0"/>
        <w:ind w:left="1278" w:right="0" w:hanging="360"/>
        <w:jc w:val="left"/>
        <w:rPr>
          <w:rFonts w:ascii="Symbol" w:hAnsi="Symbol"/>
          <w:sz w:val="28"/>
        </w:rPr>
      </w:pPr>
      <w:r>
        <w:rPr>
          <w:sz w:val="22"/>
        </w:rPr>
        <w:t>Reducing the global impact of economic and cyber-crime, corruption and terrorist</w:t>
      </w:r>
      <w:r>
        <w:rPr>
          <w:spacing w:val="-19"/>
          <w:sz w:val="22"/>
        </w:rPr>
        <w:t> </w:t>
      </w:r>
      <w:r>
        <w:rPr>
          <w:sz w:val="22"/>
        </w:rPr>
        <w:t>financing</w:t>
      </w:r>
    </w:p>
    <w:p>
      <w:pPr>
        <w:pStyle w:val="ListParagraph"/>
        <w:numPr>
          <w:ilvl w:val="0"/>
          <w:numId w:val="1"/>
        </w:numPr>
        <w:tabs>
          <w:tab w:pos="1278" w:val="left" w:leader="none"/>
          <w:tab w:pos="1279" w:val="left" w:leader="none"/>
        </w:tabs>
        <w:spacing w:line="336" w:lineRule="exact" w:before="0" w:after="0"/>
        <w:ind w:left="1278" w:right="0" w:hanging="360"/>
        <w:jc w:val="left"/>
        <w:rPr>
          <w:rFonts w:ascii="Symbol" w:hAnsi="Symbol"/>
          <w:sz w:val="28"/>
        </w:rPr>
      </w:pPr>
      <w:hyperlink r:id="rId8">
        <w:r>
          <w:rPr>
            <w:sz w:val="22"/>
            <w:u w:val="single"/>
          </w:rPr>
          <w:t>http://www.crime.financial/</w:t>
        </w:r>
      </w:hyperlink>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pPr>
    </w:p>
    <w:p>
      <w:pPr>
        <w:pStyle w:val="Heading1"/>
        <w:tabs>
          <w:tab w:pos="4032" w:val="left" w:leader="none"/>
        </w:tabs>
        <w:spacing w:before="91"/>
      </w:pPr>
      <w:r>
        <w:rPr>
          <w:color w:val="000009"/>
        </w:rPr>
        <w:t>April 2019 -</w:t>
      </w:r>
      <w:r>
        <w:rPr>
          <w:color w:val="000009"/>
          <w:spacing w:val="-3"/>
        </w:rPr>
        <w:t> </w:t>
      </w:r>
      <w:r>
        <w:rPr>
          <w:color w:val="000009"/>
        </w:rPr>
        <w:t>to date</w:t>
        <w:tab/>
        <w:t>Expert</w:t>
      </w:r>
      <w:r>
        <w:rPr>
          <w:color w:val="000009"/>
          <w:spacing w:val="-2"/>
        </w:rPr>
        <w:t> </w:t>
      </w:r>
      <w:r>
        <w:rPr>
          <w:color w:val="000009"/>
        </w:rPr>
        <w:t>witness</w:t>
      </w:r>
    </w:p>
    <w:p>
      <w:pPr>
        <w:pStyle w:val="BodyText"/>
        <w:spacing w:before="9"/>
        <w:rPr>
          <w:b/>
          <w:sz w:val="21"/>
        </w:rPr>
      </w:pPr>
    </w:p>
    <w:p>
      <w:pPr>
        <w:spacing w:before="1"/>
        <w:ind w:left="558" w:right="0" w:firstLine="0"/>
        <w:jc w:val="left"/>
        <w:rPr>
          <w:b/>
          <w:sz w:val="22"/>
        </w:rPr>
      </w:pPr>
      <w:r>
        <w:rPr>
          <w:b/>
          <w:color w:val="000009"/>
          <w:sz w:val="22"/>
        </w:rPr>
        <w:t>Martello Financial Services</w:t>
      </w:r>
    </w:p>
    <w:p>
      <w:pPr>
        <w:pStyle w:val="ListParagraph"/>
        <w:numPr>
          <w:ilvl w:val="0"/>
          <w:numId w:val="1"/>
        </w:numPr>
        <w:tabs>
          <w:tab w:pos="1519" w:val="left" w:leader="none"/>
        </w:tabs>
        <w:spacing w:line="235" w:lineRule="auto" w:before="7" w:after="0"/>
        <w:ind w:left="1278" w:right="247" w:hanging="360"/>
        <w:jc w:val="both"/>
        <w:rPr>
          <w:rFonts w:ascii="Symbol" w:hAnsi="Symbol"/>
          <w:color w:val="000009"/>
          <w:sz w:val="28"/>
        </w:rPr>
      </w:pPr>
      <w:r>
        <w:rPr/>
        <w:tab/>
      </w:r>
      <w:r>
        <w:rPr>
          <w:rFonts w:ascii="Cambria" w:hAnsi="Cambria"/>
          <w:sz w:val="22"/>
        </w:rPr>
        <w:t>Martello Financial Services Limited provides expert witnesses to support commercial litigation and regulatory investigations in financial services, with specialist expertise in benchmarks and issues related to compliance, risk and</w:t>
      </w:r>
      <w:r>
        <w:rPr>
          <w:rFonts w:ascii="Cambria" w:hAnsi="Cambria"/>
          <w:spacing w:val="-8"/>
          <w:sz w:val="22"/>
        </w:rPr>
        <w:t> </w:t>
      </w:r>
      <w:r>
        <w:rPr>
          <w:rFonts w:ascii="Cambria" w:hAnsi="Cambria"/>
          <w:sz w:val="22"/>
        </w:rPr>
        <w:t>regulation.</w:t>
      </w:r>
    </w:p>
    <w:p>
      <w:pPr>
        <w:pStyle w:val="BodyText"/>
        <w:rPr>
          <w:rFonts w:ascii="Cambria"/>
          <w:sz w:val="26"/>
        </w:rPr>
      </w:pPr>
    </w:p>
    <w:p>
      <w:pPr>
        <w:pStyle w:val="Heading1"/>
        <w:tabs>
          <w:tab w:pos="4159" w:val="left" w:leader="none"/>
        </w:tabs>
        <w:spacing w:before="199"/>
      </w:pPr>
      <w:r>
        <w:rPr>
          <w:color w:val="000009"/>
        </w:rPr>
        <w:t>Mar 2014 –</w:t>
      </w:r>
      <w:r>
        <w:rPr>
          <w:color w:val="000009"/>
          <w:spacing w:val="-2"/>
        </w:rPr>
        <w:t> </w:t>
      </w:r>
      <w:r>
        <w:rPr>
          <w:color w:val="000009"/>
        </w:rPr>
        <w:t>to date</w:t>
        <w:tab/>
        <w:t>Senior Independent</w:t>
      </w:r>
      <w:r>
        <w:rPr>
          <w:color w:val="000009"/>
          <w:spacing w:val="-1"/>
        </w:rPr>
        <w:t> </w:t>
      </w:r>
      <w:r>
        <w:rPr>
          <w:color w:val="000009"/>
        </w:rPr>
        <w:t>Director</w:t>
      </w:r>
    </w:p>
    <w:p>
      <w:pPr>
        <w:spacing w:before="2"/>
        <w:ind w:left="4159" w:right="0" w:firstLine="0"/>
        <w:jc w:val="left"/>
        <w:rPr>
          <w:b/>
          <w:sz w:val="22"/>
        </w:rPr>
      </w:pPr>
      <w:r>
        <w:rPr>
          <w:b/>
          <w:color w:val="000009"/>
          <w:sz w:val="22"/>
        </w:rPr>
        <w:t>Chairman of Audit and Risk Committee</w:t>
      </w:r>
    </w:p>
    <w:p>
      <w:pPr>
        <w:spacing w:line="249" w:lineRule="exact" w:before="0"/>
        <w:ind w:left="558" w:right="0" w:firstLine="0"/>
        <w:jc w:val="left"/>
        <w:rPr>
          <w:b/>
          <w:sz w:val="22"/>
        </w:rPr>
      </w:pPr>
      <w:r>
        <w:rPr>
          <w:b/>
          <w:color w:val="000009"/>
          <w:sz w:val="22"/>
        </w:rPr>
        <w:t>National Bank of Egypt UK Limited</w:t>
      </w:r>
    </w:p>
    <w:p>
      <w:pPr>
        <w:pStyle w:val="ListParagraph"/>
        <w:numPr>
          <w:ilvl w:val="0"/>
          <w:numId w:val="2"/>
        </w:numPr>
        <w:tabs>
          <w:tab w:pos="1278" w:val="left" w:leader="none"/>
          <w:tab w:pos="1279" w:val="left" w:leader="none"/>
        </w:tabs>
        <w:spacing w:line="250" w:lineRule="exact" w:before="0" w:after="0"/>
        <w:ind w:left="1278" w:right="0" w:hanging="360"/>
        <w:jc w:val="left"/>
        <w:rPr>
          <w:color w:val="000009"/>
          <w:sz w:val="22"/>
        </w:rPr>
      </w:pPr>
      <w:r>
        <w:rPr>
          <w:color w:val="000009"/>
          <w:sz w:val="22"/>
        </w:rPr>
        <w:t>Frequent interaction with the CEO to restructure and improve employee</w:t>
      </w:r>
      <w:r>
        <w:rPr>
          <w:color w:val="000009"/>
          <w:spacing w:val="-11"/>
          <w:sz w:val="22"/>
        </w:rPr>
        <w:t> </w:t>
      </w:r>
      <w:r>
        <w:rPr>
          <w:color w:val="000009"/>
          <w:sz w:val="22"/>
        </w:rPr>
        <w:t>quality.</w:t>
      </w:r>
    </w:p>
    <w:p>
      <w:pPr>
        <w:pStyle w:val="ListParagraph"/>
        <w:numPr>
          <w:ilvl w:val="0"/>
          <w:numId w:val="2"/>
        </w:numPr>
        <w:tabs>
          <w:tab w:pos="1278" w:val="left" w:leader="none"/>
          <w:tab w:pos="1279" w:val="left" w:leader="none"/>
        </w:tabs>
        <w:spacing w:line="240" w:lineRule="auto" w:before="1" w:after="0"/>
        <w:ind w:left="1278" w:right="244" w:hanging="360"/>
        <w:jc w:val="left"/>
        <w:rPr>
          <w:color w:val="000009"/>
          <w:sz w:val="22"/>
        </w:rPr>
      </w:pPr>
      <w:r>
        <w:rPr>
          <w:color w:val="000009"/>
          <w:sz w:val="22"/>
        </w:rPr>
        <w:t>Advisory role in product development and in the modernization of the institution, within FCA/PRA</w:t>
      </w:r>
      <w:r>
        <w:rPr>
          <w:color w:val="000009"/>
          <w:spacing w:val="-2"/>
          <w:sz w:val="22"/>
        </w:rPr>
        <w:t> </w:t>
      </w:r>
      <w:r>
        <w:rPr>
          <w:color w:val="000009"/>
          <w:sz w:val="22"/>
        </w:rPr>
        <w:t>guidelines.</w:t>
      </w:r>
    </w:p>
    <w:p>
      <w:pPr>
        <w:pStyle w:val="ListParagraph"/>
        <w:numPr>
          <w:ilvl w:val="0"/>
          <w:numId w:val="2"/>
        </w:numPr>
        <w:tabs>
          <w:tab w:pos="1278" w:val="left" w:leader="none"/>
          <w:tab w:pos="1279" w:val="left" w:leader="none"/>
        </w:tabs>
        <w:spacing w:line="240" w:lineRule="auto" w:before="1" w:after="0"/>
        <w:ind w:left="1278" w:right="0" w:hanging="360"/>
        <w:jc w:val="left"/>
        <w:rPr>
          <w:color w:val="000009"/>
          <w:sz w:val="22"/>
        </w:rPr>
      </w:pPr>
      <w:r>
        <w:rPr>
          <w:color w:val="000009"/>
          <w:sz w:val="22"/>
        </w:rPr>
        <w:t>Have met with the PRA and FCA many times on the bank’s</w:t>
      </w:r>
      <w:r>
        <w:rPr>
          <w:color w:val="000009"/>
          <w:spacing w:val="-10"/>
          <w:sz w:val="22"/>
        </w:rPr>
        <w:t> </w:t>
      </w:r>
      <w:r>
        <w:rPr>
          <w:color w:val="000009"/>
          <w:sz w:val="22"/>
        </w:rPr>
        <w:t>behalf.</w:t>
      </w:r>
    </w:p>
    <w:p>
      <w:pPr>
        <w:pStyle w:val="BodyText"/>
        <w:rPr>
          <w:sz w:val="24"/>
        </w:rPr>
      </w:pPr>
    </w:p>
    <w:p>
      <w:pPr>
        <w:pStyle w:val="BodyText"/>
        <w:spacing w:before="4"/>
        <w:rPr>
          <w:sz w:val="20"/>
        </w:rPr>
      </w:pPr>
    </w:p>
    <w:p>
      <w:pPr>
        <w:pStyle w:val="Heading1"/>
        <w:tabs>
          <w:tab w:pos="4159" w:val="left" w:leader="none"/>
        </w:tabs>
        <w:ind w:left="4159" w:right="2414" w:hanging="3601"/>
      </w:pPr>
      <w:r>
        <w:rPr>
          <w:color w:val="000009"/>
        </w:rPr>
        <w:t>Mar 2010 –</w:t>
      </w:r>
      <w:r>
        <w:rPr>
          <w:color w:val="000009"/>
          <w:spacing w:val="-2"/>
        </w:rPr>
        <w:t> </w:t>
      </w:r>
      <w:r>
        <w:rPr>
          <w:color w:val="000009"/>
        </w:rPr>
        <w:t>to date</w:t>
        <w:tab/>
        <w:t>Senior Independent Director Member, Audit and Risk</w:t>
      </w:r>
      <w:r>
        <w:rPr>
          <w:color w:val="000009"/>
          <w:spacing w:val="-10"/>
        </w:rPr>
        <w:t> </w:t>
      </w:r>
      <w:r>
        <w:rPr>
          <w:color w:val="000009"/>
        </w:rPr>
        <w:t>Committee</w:t>
      </w:r>
    </w:p>
    <w:p>
      <w:pPr>
        <w:spacing w:before="1"/>
        <w:ind w:left="4159" w:right="0" w:firstLine="0"/>
        <w:jc w:val="left"/>
        <w:rPr>
          <w:b/>
          <w:sz w:val="22"/>
        </w:rPr>
      </w:pPr>
      <w:r>
        <w:rPr>
          <w:b/>
          <w:color w:val="000009"/>
          <w:sz w:val="22"/>
        </w:rPr>
        <w:t>Chair, Remuneration and Nominations Committee</w:t>
      </w:r>
    </w:p>
    <w:p>
      <w:pPr>
        <w:spacing w:line="249" w:lineRule="exact" w:before="0"/>
        <w:ind w:left="558" w:right="0" w:firstLine="0"/>
        <w:jc w:val="left"/>
        <w:rPr>
          <w:b/>
          <w:sz w:val="22"/>
        </w:rPr>
      </w:pPr>
      <w:r>
        <w:rPr>
          <w:b/>
          <w:color w:val="000009"/>
          <w:sz w:val="22"/>
        </w:rPr>
        <w:t>Crown Agents Bank Limited</w:t>
      </w:r>
    </w:p>
    <w:p>
      <w:pPr>
        <w:pStyle w:val="ListParagraph"/>
        <w:numPr>
          <w:ilvl w:val="0"/>
          <w:numId w:val="2"/>
        </w:numPr>
        <w:tabs>
          <w:tab w:pos="1278" w:val="left" w:leader="none"/>
          <w:tab w:pos="1279" w:val="left" w:leader="none"/>
        </w:tabs>
        <w:spacing w:line="242" w:lineRule="auto" w:before="0" w:after="0"/>
        <w:ind w:left="1278" w:right="251" w:hanging="360"/>
        <w:jc w:val="left"/>
        <w:rPr>
          <w:color w:val="000009"/>
          <w:sz w:val="22"/>
        </w:rPr>
      </w:pPr>
      <w:r>
        <w:rPr>
          <w:color w:val="000009"/>
          <w:sz w:val="22"/>
        </w:rPr>
        <w:t>Playing a defining role in the redevelopment of the bank’s entire business model, following acquisition of the bank by Helios Investment</w:t>
      </w:r>
      <w:r>
        <w:rPr>
          <w:color w:val="000009"/>
          <w:spacing w:val="-8"/>
          <w:sz w:val="22"/>
        </w:rPr>
        <w:t> </w:t>
      </w:r>
      <w:r>
        <w:rPr>
          <w:color w:val="000009"/>
          <w:sz w:val="22"/>
        </w:rPr>
        <w:t>Partners.</w:t>
      </w:r>
    </w:p>
    <w:p>
      <w:pPr>
        <w:pStyle w:val="ListParagraph"/>
        <w:numPr>
          <w:ilvl w:val="0"/>
          <w:numId w:val="2"/>
        </w:numPr>
        <w:tabs>
          <w:tab w:pos="1278" w:val="left" w:leader="none"/>
          <w:tab w:pos="1279" w:val="left" w:leader="none"/>
        </w:tabs>
        <w:spacing w:line="242" w:lineRule="auto" w:before="0" w:after="0"/>
        <w:ind w:left="1278" w:right="249" w:hanging="360"/>
        <w:jc w:val="left"/>
        <w:rPr>
          <w:color w:val="000009"/>
          <w:sz w:val="22"/>
        </w:rPr>
      </w:pPr>
      <w:r>
        <w:rPr>
          <w:color w:val="000009"/>
          <w:sz w:val="22"/>
        </w:rPr>
        <w:t>Delivered a strategy to steer through the minefield of low rates, flat yield curves and interbank credit risk and, the changing FSA/ FCA/ PRA/ MIFID regulatory</w:t>
      </w:r>
      <w:r>
        <w:rPr>
          <w:color w:val="000009"/>
          <w:spacing w:val="-12"/>
          <w:sz w:val="22"/>
        </w:rPr>
        <w:t> </w:t>
      </w:r>
      <w:r>
        <w:rPr>
          <w:color w:val="000009"/>
          <w:sz w:val="22"/>
        </w:rPr>
        <w:t>environment.</w:t>
      </w:r>
    </w:p>
    <w:p>
      <w:pPr>
        <w:pStyle w:val="ListParagraph"/>
        <w:numPr>
          <w:ilvl w:val="0"/>
          <w:numId w:val="2"/>
        </w:numPr>
        <w:tabs>
          <w:tab w:pos="1278" w:val="left" w:leader="none"/>
          <w:tab w:pos="1279" w:val="left" w:leader="none"/>
        </w:tabs>
        <w:spacing w:line="240" w:lineRule="auto" w:before="0" w:after="0"/>
        <w:ind w:left="1278" w:right="242" w:hanging="360"/>
        <w:jc w:val="left"/>
        <w:rPr>
          <w:color w:val="000009"/>
          <w:sz w:val="22"/>
        </w:rPr>
      </w:pPr>
      <w:r>
        <w:rPr>
          <w:color w:val="000009"/>
          <w:sz w:val="22"/>
        </w:rPr>
        <w:t>An integral part in the regulatory examination of the bank’s liquidity position, (ILAAP), and of the bank’s Corporate</w:t>
      </w:r>
      <w:r>
        <w:rPr>
          <w:color w:val="000009"/>
          <w:spacing w:val="-1"/>
          <w:sz w:val="22"/>
        </w:rPr>
        <w:t> </w:t>
      </w:r>
      <w:r>
        <w:rPr>
          <w:color w:val="000009"/>
          <w:sz w:val="22"/>
        </w:rPr>
        <w:t>Governance.</w:t>
      </w:r>
    </w:p>
    <w:p>
      <w:pPr>
        <w:pStyle w:val="ListParagraph"/>
        <w:numPr>
          <w:ilvl w:val="0"/>
          <w:numId w:val="2"/>
        </w:numPr>
        <w:tabs>
          <w:tab w:pos="1278" w:val="left" w:leader="none"/>
          <w:tab w:pos="1279" w:val="left" w:leader="none"/>
        </w:tabs>
        <w:spacing w:line="252" w:lineRule="exact" w:before="0" w:after="0"/>
        <w:ind w:left="1278" w:right="0" w:hanging="360"/>
        <w:jc w:val="left"/>
        <w:rPr>
          <w:color w:val="000009"/>
          <w:sz w:val="22"/>
        </w:rPr>
      </w:pPr>
      <w:r>
        <w:rPr>
          <w:color w:val="000009"/>
          <w:sz w:val="22"/>
        </w:rPr>
        <w:t>Met with the PRA and FCA on the bank’s behalf on several</w:t>
      </w:r>
      <w:r>
        <w:rPr>
          <w:color w:val="000009"/>
          <w:spacing w:val="-12"/>
          <w:sz w:val="22"/>
        </w:rPr>
        <w:t> </w:t>
      </w:r>
      <w:r>
        <w:rPr>
          <w:color w:val="000009"/>
          <w:sz w:val="22"/>
        </w:rPr>
        <w:t>occasions.</w:t>
      </w:r>
    </w:p>
    <w:p>
      <w:pPr>
        <w:pStyle w:val="ListParagraph"/>
        <w:numPr>
          <w:ilvl w:val="0"/>
          <w:numId w:val="2"/>
        </w:numPr>
        <w:tabs>
          <w:tab w:pos="1278" w:val="left" w:leader="none"/>
          <w:tab w:pos="1279" w:val="left" w:leader="none"/>
        </w:tabs>
        <w:spacing w:line="240" w:lineRule="auto" w:before="0" w:after="0"/>
        <w:ind w:left="1278" w:right="247" w:hanging="360"/>
        <w:jc w:val="left"/>
        <w:rPr>
          <w:color w:val="000009"/>
          <w:sz w:val="22"/>
        </w:rPr>
      </w:pPr>
      <w:r>
        <w:rPr>
          <w:color w:val="000009"/>
          <w:sz w:val="22"/>
        </w:rPr>
        <w:t>Sourced and helped recruit two NED’s, one of whom went on to become their very successful CEO.</w:t>
      </w:r>
    </w:p>
    <w:p>
      <w:pPr>
        <w:pStyle w:val="ListParagraph"/>
        <w:numPr>
          <w:ilvl w:val="0"/>
          <w:numId w:val="2"/>
        </w:numPr>
        <w:tabs>
          <w:tab w:pos="1278" w:val="left" w:leader="none"/>
          <w:tab w:pos="1279" w:val="left" w:leader="none"/>
        </w:tabs>
        <w:spacing w:line="240" w:lineRule="auto" w:before="0" w:after="0"/>
        <w:ind w:left="1278" w:right="0" w:hanging="360"/>
        <w:jc w:val="left"/>
        <w:rPr>
          <w:color w:val="000009"/>
          <w:sz w:val="22"/>
        </w:rPr>
      </w:pPr>
      <w:r>
        <w:rPr>
          <w:color w:val="000009"/>
          <w:sz w:val="22"/>
        </w:rPr>
        <w:t>Key advice in relation to asset and liability management and the FX</w:t>
      </w:r>
      <w:r>
        <w:rPr>
          <w:color w:val="000009"/>
          <w:spacing w:val="-16"/>
          <w:sz w:val="22"/>
        </w:rPr>
        <w:t> </w:t>
      </w:r>
      <w:r>
        <w:rPr>
          <w:color w:val="000009"/>
          <w:sz w:val="22"/>
        </w:rPr>
        <w:t>business</w:t>
      </w:r>
    </w:p>
    <w:p>
      <w:pPr>
        <w:pStyle w:val="BodyText"/>
        <w:spacing w:before="5"/>
        <w:rPr>
          <w:sz w:val="21"/>
        </w:rPr>
      </w:pPr>
    </w:p>
    <w:p>
      <w:pPr>
        <w:pStyle w:val="Heading1"/>
        <w:tabs>
          <w:tab w:pos="4156" w:val="left" w:leader="none"/>
        </w:tabs>
        <w:spacing w:line="252" w:lineRule="exact"/>
      </w:pPr>
      <w:r>
        <w:rPr>
          <w:color w:val="000009"/>
        </w:rPr>
        <w:t>Sep 2017 – Sep 2018</w:t>
        <w:tab/>
        <w:t>Non-Executive Chairman</w:t>
      </w:r>
    </w:p>
    <w:p>
      <w:pPr>
        <w:spacing w:line="252" w:lineRule="exact" w:before="0"/>
        <w:ind w:left="4159" w:right="0" w:firstLine="0"/>
        <w:jc w:val="left"/>
        <w:rPr>
          <w:b/>
          <w:sz w:val="22"/>
        </w:rPr>
      </w:pPr>
      <w:r>
        <w:rPr>
          <w:b/>
          <w:color w:val="000009"/>
          <w:sz w:val="22"/>
        </w:rPr>
        <w:t>Member, Audit and Risk Committee</w:t>
      </w:r>
    </w:p>
    <w:p>
      <w:pPr>
        <w:spacing w:line="250" w:lineRule="exact" w:before="2"/>
        <w:ind w:left="558" w:right="0" w:firstLine="0"/>
        <w:jc w:val="left"/>
        <w:rPr>
          <w:b/>
          <w:sz w:val="22"/>
        </w:rPr>
      </w:pPr>
      <w:r>
        <w:rPr>
          <w:b/>
          <w:color w:val="000009"/>
          <w:sz w:val="22"/>
        </w:rPr>
        <w:t>GKFX Financial Services Limited</w:t>
      </w:r>
    </w:p>
    <w:p>
      <w:pPr>
        <w:pStyle w:val="ListParagraph"/>
        <w:numPr>
          <w:ilvl w:val="0"/>
          <w:numId w:val="2"/>
        </w:numPr>
        <w:tabs>
          <w:tab w:pos="1278" w:val="left" w:leader="none"/>
          <w:tab w:pos="1279" w:val="left" w:leader="none"/>
        </w:tabs>
        <w:spacing w:line="250" w:lineRule="exact" w:before="0" w:after="0"/>
        <w:ind w:left="1278" w:right="0" w:hanging="360"/>
        <w:jc w:val="left"/>
        <w:rPr>
          <w:color w:val="000009"/>
          <w:sz w:val="22"/>
        </w:rPr>
      </w:pPr>
      <w:r>
        <w:rPr>
          <w:color w:val="000009"/>
          <w:sz w:val="22"/>
        </w:rPr>
        <w:t>Met and spoke with the FCA frequently on the firm’s</w:t>
      </w:r>
      <w:r>
        <w:rPr>
          <w:color w:val="000009"/>
          <w:spacing w:val="-12"/>
          <w:sz w:val="22"/>
        </w:rPr>
        <w:t> </w:t>
      </w:r>
      <w:r>
        <w:rPr>
          <w:color w:val="000009"/>
          <w:sz w:val="22"/>
        </w:rPr>
        <w:t>behalf.</w:t>
      </w:r>
    </w:p>
    <w:p>
      <w:pPr>
        <w:spacing w:after="0" w:line="250" w:lineRule="exact"/>
        <w:jc w:val="left"/>
        <w:rPr>
          <w:sz w:val="22"/>
        </w:rPr>
        <w:sectPr>
          <w:headerReference w:type="default" r:id="rId7"/>
          <w:pgSz w:w="11900" w:h="16850"/>
          <w:pgMar w:header="710" w:footer="0" w:top="1200" w:bottom="280" w:left="860" w:right="1020"/>
        </w:sectPr>
      </w:pPr>
    </w:p>
    <w:p>
      <w:pPr>
        <w:pStyle w:val="BodyText"/>
        <w:spacing w:before="9"/>
        <w:rPr>
          <w:sz w:val="11"/>
        </w:rPr>
      </w:pPr>
    </w:p>
    <w:p>
      <w:pPr>
        <w:pStyle w:val="ListParagraph"/>
        <w:numPr>
          <w:ilvl w:val="0"/>
          <w:numId w:val="2"/>
        </w:numPr>
        <w:tabs>
          <w:tab w:pos="1278" w:val="left" w:leader="none"/>
          <w:tab w:pos="1279" w:val="left" w:leader="none"/>
        </w:tabs>
        <w:spacing w:line="240" w:lineRule="auto" w:before="91" w:after="0"/>
        <w:ind w:left="1278" w:right="0" w:hanging="360"/>
        <w:jc w:val="left"/>
        <w:rPr>
          <w:color w:val="000009"/>
          <w:sz w:val="22"/>
        </w:rPr>
      </w:pPr>
      <w:r>
        <w:rPr>
          <w:color w:val="000009"/>
          <w:sz w:val="22"/>
        </w:rPr>
        <w:t>Guided the sole foreign shareholder with regard to FCA regulation of UK</w:t>
      </w:r>
      <w:r>
        <w:rPr>
          <w:color w:val="000009"/>
          <w:spacing w:val="-12"/>
          <w:sz w:val="22"/>
        </w:rPr>
        <w:t> </w:t>
      </w:r>
      <w:r>
        <w:rPr>
          <w:color w:val="000009"/>
          <w:sz w:val="22"/>
        </w:rPr>
        <w:t>subsidiaries.</w:t>
      </w:r>
    </w:p>
    <w:p>
      <w:pPr>
        <w:pStyle w:val="BodyText"/>
        <w:spacing w:before="6"/>
      </w:pPr>
    </w:p>
    <w:p>
      <w:pPr>
        <w:pStyle w:val="Heading1"/>
        <w:tabs>
          <w:tab w:pos="4156" w:val="left" w:leader="none"/>
        </w:tabs>
        <w:ind w:left="4159" w:right="1843" w:hanging="3601"/>
      </w:pPr>
      <w:r>
        <w:rPr>
          <w:color w:val="000009"/>
        </w:rPr>
        <w:t>May 2017 – Sep 2018</w:t>
        <w:tab/>
        <w:t>Non-Executive Director and Trustee Chairman of Staff and Finance</w:t>
      </w:r>
      <w:r>
        <w:rPr>
          <w:color w:val="000009"/>
          <w:spacing w:val="-11"/>
        </w:rPr>
        <w:t> </w:t>
      </w:r>
      <w:r>
        <w:rPr>
          <w:color w:val="000009"/>
        </w:rPr>
        <w:t>Committee</w:t>
      </w:r>
    </w:p>
    <w:p>
      <w:pPr>
        <w:pStyle w:val="BodyText"/>
        <w:spacing w:before="10"/>
        <w:rPr>
          <w:b/>
          <w:sz w:val="21"/>
        </w:rPr>
      </w:pPr>
    </w:p>
    <w:p>
      <w:pPr>
        <w:spacing w:line="250" w:lineRule="exact" w:before="1"/>
        <w:ind w:left="558" w:right="0" w:firstLine="0"/>
        <w:jc w:val="left"/>
        <w:rPr>
          <w:b/>
          <w:sz w:val="22"/>
        </w:rPr>
      </w:pPr>
      <w:r>
        <w:rPr>
          <w:b/>
          <w:color w:val="000009"/>
          <w:sz w:val="22"/>
        </w:rPr>
        <w:t>Hoxton Hall Theatre</w:t>
      </w:r>
    </w:p>
    <w:p>
      <w:pPr>
        <w:pStyle w:val="ListParagraph"/>
        <w:numPr>
          <w:ilvl w:val="0"/>
          <w:numId w:val="2"/>
        </w:numPr>
        <w:tabs>
          <w:tab w:pos="1278" w:val="left" w:leader="none"/>
          <w:tab w:pos="1279" w:val="left" w:leader="none"/>
        </w:tabs>
        <w:spacing w:line="250" w:lineRule="exact" w:before="0" w:after="0"/>
        <w:ind w:left="1278" w:right="0" w:hanging="360"/>
        <w:jc w:val="left"/>
        <w:rPr>
          <w:color w:val="000009"/>
          <w:sz w:val="22"/>
        </w:rPr>
      </w:pPr>
      <w:r>
        <w:rPr>
          <w:color w:val="000009"/>
          <w:sz w:val="22"/>
        </w:rPr>
        <w:t>Key contribution to prudent financial</w:t>
      </w:r>
      <w:r>
        <w:rPr>
          <w:color w:val="000009"/>
          <w:spacing w:val="-7"/>
          <w:sz w:val="22"/>
        </w:rPr>
        <w:t> </w:t>
      </w:r>
      <w:r>
        <w:rPr>
          <w:color w:val="000009"/>
          <w:sz w:val="22"/>
        </w:rPr>
        <w:t>management</w:t>
      </w:r>
    </w:p>
    <w:p>
      <w:pPr>
        <w:pStyle w:val="BodyText"/>
        <w:spacing w:before="5"/>
      </w:pPr>
    </w:p>
    <w:p>
      <w:pPr>
        <w:pStyle w:val="Heading1"/>
        <w:tabs>
          <w:tab w:pos="4156" w:val="left" w:leader="none"/>
        </w:tabs>
        <w:ind w:left="4159" w:right="3631" w:hanging="3601"/>
      </w:pPr>
      <w:r>
        <w:rPr>
          <w:color w:val="000009"/>
        </w:rPr>
        <w:t>Oct 2016 –</w:t>
      </w:r>
      <w:r>
        <w:rPr>
          <w:color w:val="000009"/>
          <w:spacing w:val="-3"/>
        </w:rPr>
        <w:t> </w:t>
      </w:r>
      <w:r>
        <w:rPr>
          <w:color w:val="000009"/>
        </w:rPr>
        <w:t>Sep 2017</w:t>
        <w:tab/>
        <w:t>Non-Executive </w:t>
      </w:r>
      <w:r>
        <w:rPr>
          <w:color w:val="000009"/>
          <w:spacing w:val="-3"/>
        </w:rPr>
        <w:t>Director </w:t>
      </w:r>
      <w:r>
        <w:rPr>
          <w:color w:val="000009"/>
        </w:rPr>
        <w:t>Group Risk</w:t>
      </w:r>
      <w:r>
        <w:rPr>
          <w:color w:val="000009"/>
          <w:spacing w:val="-4"/>
        </w:rPr>
        <w:t> </w:t>
      </w:r>
      <w:r>
        <w:rPr>
          <w:color w:val="000009"/>
        </w:rPr>
        <w:t>Committee</w:t>
      </w:r>
    </w:p>
    <w:p>
      <w:pPr>
        <w:pStyle w:val="BodyText"/>
        <w:spacing w:before="11"/>
        <w:rPr>
          <w:b/>
          <w:sz w:val="21"/>
        </w:rPr>
      </w:pPr>
    </w:p>
    <w:p>
      <w:pPr>
        <w:spacing w:line="252" w:lineRule="exact" w:before="0"/>
        <w:ind w:left="558" w:right="0" w:firstLine="0"/>
        <w:jc w:val="left"/>
        <w:rPr>
          <w:b/>
          <w:sz w:val="22"/>
        </w:rPr>
      </w:pPr>
      <w:r>
        <w:rPr>
          <w:b/>
          <w:color w:val="000009"/>
          <w:sz w:val="22"/>
        </w:rPr>
        <w:t>FX Pro UK Limited</w:t>
      </w:r>
    </w:p>
    <w:p>
      <w:pPr>
        <w:pStyle w:val="ListParagraph"/>
        <w:numPr>
          <w:ilvl w:val="0"/>
          <w:numId w:val="2"/>
        </w:numPr>
        <w:tabs>
          <w:tab w:pos="1278" w:val="left" w:leader="none"/>
          <w:tab w:pos="1279" w:val="left" w:leader="none"/>
        </w:tabs>
        <w:spacing w:line="252" w:lineRule="exact" w:before="0" w:after="0"/>
        <w:ind w:left="1278" w:right="0" w:hanging="360"/>
        <w:jc w:val="left"/>
        <w:rPr>
          <w:color w:val="000009"/>
          <w:sz w:val="22"/>
        </w:rPr>
      </w:pPr>
      <w:r>
        <w:rPr>
          <w:color w:val="000009"/>
          <w:sz w:val="22"/>
        </w:rPr>
        <w:t>Guided the sole foreign shareholder with regard to FCA regulation of UK</w:t>
      </w:r>
      <w:r>
        <w:rPr>
          <w:color w:val="000009"/>
          <w:spacing w:val="-14"/>
          <w:sz w:val="22"/>
        </w:rPr>
        <w:t> </w:t>
      </w:r>
      <w:r>
        <w:rPr>
          <w:color w:val="000009"/>
          <w:sz w:val="22"/>
        </w:rPr>
        <w:t>subsidiaries</w:t>
      </w:r>
    </w:p>
    <w:p>
      <w:pPr>
        <w:pStyle w:val="BodyText"/>
        <w:spacing w:before="5"/>
      </w:pPr>
    </w:p>
    <w:p>
      <w:pPr>
        <w:pStyle w:val="Heading1"/>
        <w:tabs>
          <w:tab w:pos="4159" w:val="left" w:leader="none"/>
        </w:tabs>
        <w:spacing w:line="252" w:lineRule="exact"/>
      </w:pPr>
      <w:r>
        <w:rPr>
          <w:color w:val="000009"/>
        </w:rPr>
        <w:t>Jul 2012 – Jul</w:t>
      </w:r>
      <w:r>
        <w:rPr>
          <w:color w:val="000009"/>
          <w:spacing w:val="-1"/>
        </w:rPr>
        <w:t> </w:t>
      </w:r>
      <w:r>
        <w:rPr>
          <w:color w:val="000009"/>
        </w:rPr>
        <w:t>2015</w:t>
        <w:tab/>
        <w:t>Non-Executive Chairman</w:t>
      </w:r>
    </w:p>
    <w:p>
      <w:pPr>
        <w:spacing w:line="252" w:lineRule="exact" w:before="0"/>
        <w:ind w:left="4159" w:right="0" w:firstLine="0"/>
        <w:jc w:val="left"/>
        <w:rPr>
          <w:b/>
          <w:sz w:val="22"/>
        </w:rPr>
      </w:pPr>
      <w:r>
        <w:rPr>
          <w:b/>
          <w:color w:val="000009"/>
          <w:sz w:val="22"/>
        </w:rPr>
        <w:t>Member of Risk and Audit Committee</w:t>
      </w:r>
    </w:p>
    <w:p>
      <w:pPr>
        <w:spacing w:line="250" w:lineRule="exact" w:before="2"/>
        <w:ind w:left="558" w:right="0" w:firstLine="0"/>
        <w:jc w:val="left"/>
        <w:rPr>
          <w:b/>
          <w:sz w:val="22"/>
        </w:rPr>
      </w:pPr>
      <w:r>
        <w:rPr>
          <w:b/>
          <w:color w:val="000009"/>
          <w:sz w:val="22"/>
        </w:rPr>
        <w:t>Saxo Capital Markets UK</w:t>
      </w:r>
    </w:p>
    <w:p>
      <w:pPr>
        <w:pStyle w:val="ListParagraph"/>
        <w:numPr>
          <w:ilvl w:val="0"/>
          <w:numId w:val="2"/>
        </w:numPr>
        <w:tabs>
          <w:tab w:pos="1278" w:val="left" w:leader="none"/>
          <w:tab w:pos="1279" w:val="left" w:leader="none"/>
        </w:tabs>
        <w:spacing w:line="240" w:lineRule="auto" w:before="0" w:after="0"/>
        <w:ind w:left="1278" w:right="240" w:hanging="360"/>
        <w:jc w:val="left"/>
        <w:rPr>
          <w:color w:val="000009"/>
          <w:sz w:val="22"/>
        </w:rPr>
      </w:pPr>
      <w:r>
        <w:rPr>
          <w:color w:val="000009"/>
          <w:sz w:val="22"/>
        </w:rPr>
        <w:t>Guiding influence with regard to governance, formulation of ICAAP and ILAAP, and the FCA relationship.</w:t>
      </w:r>
    </w:p>
    <w:p>
      <w:pPr>
        <w:pStyle w:val="ListParagraph"/>
        <w:numPr>
          <w:ilvl w:val="0"/>
          <w:numId w:val="2"/>
        </w:numPr>
        <w:tabs>
          <w:tab w:pos="1278" w:val="left" w:leader="none"/>
          <w:tab w:pos="1279" w:val="left" w:leader="none"/>
        </w:tabs>
        <w:spacing w:line="252" w:lineRule="exact" w:before="0" w:after="0"/>
        <w:ind w:left="1278" w:right="0" w:hanging="360"/>
        <w:jc w:val="left"/>
        <w:rPr>
          <w:color w:val="000009"/>
          <w:sz w:val="22"/>
        </w:rPr>
      </w:pPr>
      <w:r>
        <w:rPr>
          <w:color w:val="000009"/>
          <w:sz w:val="22"/>
        </w:rPr>
        <w:t>Met with the FCA frequently on the bank’s</w:t>
      </w:r>
      <w:r>
        <w:rPr>
          <w:color w:val="000009"/>
          <w:spacing w:val="-5"/>
          <w:sz w:val="22"/>
        </w:rPr>
        <w:t> </w:t>
      </w:r>
      <w:r>
        <w:rPr>
          <w:color w:val="000009"/>
          <w:sz w:val="22"/>
        </w:rPr>
        <w:t>behalf.</w:t>
      </w:r>
    </w:p>
    <w:p>
      <w:pPr>
        <w:pStyle w:val="ListParagraph"/>
        <w:numPr>
          <w:ilvl w:val="0"/>
          <w:numId w:val="2"/>
        </w:numPr>
        <w:tabs>
          <w:tab w:pos="1278" w:val="left" w:leader="none"/>
          <w:tab w:pos="1279" w:val="left" w:leader="none"/>
        </w:tabs>
        <w:spacing w:line="240" w:lineRule="auto" w:before="0" w:after="0"/>
        <w:ind w:left="1278" w:right="240" w:hanging="360"/>
        <w:jc w:val="left"/>
        <w:rPr>
          <w:color w:val="000009"/>
          <w:sz w:val="22"/>
        </w:rPr>
      </w:pPr>
      <w:r>
        <w:rPr>
          <w:color w:val="000009"/>
          <w:sz w:val="22"/>
        </w:rPr>
        <w:t>Guided the firm through its transition from branch to subsidiary status, with the accompanying change in lead regulator from the Danish FSA to the UK</w:t>
      </w:r>
      <w:r>
        <w:rPr>
          <w:color w:val="000009"/>
          <w:spacing w:val="-12"/>
          <w:sz w:val="22"/>
        </w:rPr>
        <w:t> </w:t>
      </w:r>
      <w:r>
        <w:rPr>
          <w:color w:val="000009"/>
          <w:sz w:val="22"/>
        </w:rPr>
        <w:t>FCA.</w:t>
      </w:r>
    </w:p>
    <w:p>
      <w:pPr>
        <w:pStyle w:val="BodyText"/>
        <w:rPr>
          <w:sz w:val="20"/>
        </w:rPr>
      </w:pPr>
    </w:p>
    <w:p>
      <w:pPr>
        <w:pStyle w:val="BodyText"/>
        <w:spacing w:before="3"/>
        <w:rPr>
          <w:sz w:val="27"/>
        </w:rPr>
      </w:pPr>
    </w:p>
    <w:tbl>
      <w:tblPr>
        <w:tblW w:w="0" w:type="auto"/>
        <w:jc w:val="left"/>
        <w:tblInd w:w="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042"/>
        <w:gridCol w:w="3628"/>
        <w:gridCol w:w="2660"/>
      </w:tblGrid>
      <w:tr>
        <w:trPr>
          <w:trHeight w:val="313" w:hRule="atLeast"/>
        </w:trPr>
        <w:tc>
          <w:tcPr>
            <w:tcW w:w="3042" w:type="dxa"/>
            <w:shd w:val="clear" w:color="auto" w:fill="F3F3F3"/>
          </w:tcPr>
          <w:p>
            <w:pPr>
              <w:pStyle w:val="TableParagraph"/>
              <w:rPr>
                <w:sz w:val="22"/>
              </w:rPr>
            </w:pPr>
          </w:p>
        </w:tc>
        <w:tc>
          <w:tcPr>
            <w:tcW w:w="3628" w:type="dxa"/>
          </w:tcPr>
          <w:p>
            <w:pPr>
              <w:pStyle w:val="TableParagraph"/>
              <w:tabs>
                <w:tab w:pos="441" w:val="left" w:leader="none"/>
                <w:tab w:pos="6541" w:val="left" w:leader="none"/>
              </w:tabs>
              <w:spacing w:line="293" w:lineRule="exact"/>
              <w:ind w:left="-2958" w:right="-2924"/>
              <w:rPr>
                <w:b/>
                <w:sz w:val="22"/>
              </w:rPr>
            </w:pPr>
            <w:r>
              <w:rPr>
                <w:b/>
                <w:w w:val="100"/>
                <w:sz w:val="28"/>
                <w:shd w:fill="F3F3F3" w:color="auto" w:val="clear"/>
              </w:rPr>
              <w:t> </w:t>
            </w:r>
            <w:r>
              <w:rPr>
                <w:b/>
                <w:sz w:val="28"/>
                <w:shd w:fill="F3F3F3" w:color="auto" w:val="clear"/>
              </w:rPr>
              <w:tab/>
              <w:t>E</w:t>
            </w:r>
            <w:r>
              <w:rPr>
                <w:b/>
                <w:sz w:val="22"/>
                <w:shd w:fill="F3F3F3" w:color="auto" w:val="clear"/>
              </w:rPr>
              <w:t>XECUTIVE</w:t>
            </w:r>
            <w:r>
              <w:rPr>
                <w:b/>
                <w:spacing w:val="-10"/>
                <w:sz w:val="22"/>
                <w:shd w:fill="F3F3F3" w:color="auto" w:val="clear"/>
              </w:rPr>
              <w:t> </w:t>
            </w:r>
            <w:r>
              <w:rPr>
                <w:b/>
                <w:sz w:val="28"/>
                <w:shd w:fill="F3F3F3" w:color="auto" w:val="clear"/>
              </w:rPr>
              <w:t>E</w:t>
            </w:r>
            <w:r>
              <w:rPr>
                <w:b/>
                <w:sz w:val="22"/>
                <w:shd w:fill="F3F3F3" w:color="auto" w:val="clear"/>
              </w:rPr>
              <w:t>XPERIENCE</w:t>
              <w:tab/>
            </w:r>
          </w:p>
        </w:tc>
        <w:tc>
          <w:tcPr>
            <w:tcW w:w="2660" w:type="dxa"/>
            <w:shd w:val="clear" w:color="auto" w:fill="F3F3F3"/>
          </w:tcPr>
          <w:p>
            <w:pPr>
              <w:pStyle w:val="TableParagraph"/>
              <w:rPr>
                <w:sz w:val="22"/>
              </w:rPr>
            </w:pPr>
          </w:p>
        </w:tc>
      </w:tr>
    </w:tbl>
    <w:p>
      <w:pPr>
        <w:pStyle w:val="BodyText"/>
        <w:rPr>
          <w:sz w:val="20"/>
        </w:rPr>
      </w:pPr>
    </w:p>
    <w:p>
      <w:pPr>
        <w:pStyle w:val="BodyText"/>
        <w:spacing w:before="1"/>
        <w:rPr>
          <w:sz w:val="16"/>
        </w:rPr>
      </w:pPr>
    </w:p>
    <w:p>
      <w:pPr>
        <w:pStyle w:val="Heading1"/>
        <w:tabs>
          <w:tab w:pos="4264" w:val="left" w:leader="none"/>
        </w:tabs>
        <w:spacing w:before="91"/>
        <w:ind w:right="2135"/>
      </w:pPr>
      <w:r>
        <w:rPr>
          <w:color w:val="000009"/>
        </w:rPr>
        <w:t>Jan 2013 –</w:t>
      </w:r>
      <w:r>
        <w:rPr>
          <w:color w:val="000009"/>
          <w:spacing w:val="-2"/>
        </w:rPr>
        <w:t> </w:t>
      </w:r>
      <w:r>
        <w:rPr>
          <w:color w:val="000009"/>
        </w:rPr>
        <w:t>Jun 2014</w:t>
        <w:tab/>
        <w:t>Founder and Chief Investment Officer C-View Limited</w:t>
      </w:r>
    </w:p>
    <w:p>
      <w:pPr>
        <w:pStyle w:val="ListParagraph"/>
        <w:numPr>
          <w:ilvl w:val="0"/>
          <w:numId w:val="2"/>
        </w:numPr>
        <w:tabs>
          <w:tab w:pos="1279" w:val="left" w:leader="none"/>
        </w:tabs>
        <w:spacing w:line="242" w:lineRule="auto" w:before="0" w:after="0"/>
        <w:ind w:left="1278" w:right="240" w:hanging="360"/>
        <w:jc w:val="both"/>
        <w:rPr>
          <w:color w:val="000009"/>
          <w:sz w:val="22"/>
        </w:rPr>
      </w:pPr>
      <w:r>
        <w:rPr>
          <w:color w:val="000009"/>
          <w:sz w:val="22"/>
        </w:rPr>
        <w:t>Launched a new fund, the Global Macro Interest Rate Program, a discretionary hedge fund program, focused on exchange-traded interest rate futures and</w:t>
      </w:r>
      <w:r>
        <w:rPr>
          <w:color w:val="000009"/>
          <w:spacing w:val="-8"/>
          <w:sz w:val="22"/>
        </w:rPr>
        <w:t> </w:t>
      </w:r>
      <w:r>
        <w:rPr>
          <w:color w:val="000009"/>
          <w:sz w:val="22"/>
        </w:rPr>
        <w:t>options.</w:t>
      </w:r>
    </w:p>
    <w:p>
      <w:pPr>
        <w:pStyle w:val="ListParagraph"/>
        <w:numPr>
          <w:ilvl w:val="0"/>
          <w:numId w:val="2"/>
        </w:numPr>
        <w:tabs>
          <w:tab w:pos="1279" w:val="left" w:leader="none"/>
        </w:tabs>
        <w:spacing w:line="240" w:lineRule="auto" w:before="0" w:after="0"/>
        <w:ind w:left="1278" w:right="243" w:hanging="360"/>
        <w:jc w:val="both"/>
        <w:rPr>
          <w:color w:val="000009"/>
          <w:sz w:val="22"/>
        </w:rPr>
      </w:pPr>
      <w:r>
        <w:rPr>
          <w:color w:val="000009"/>
          <w:sz w:val="22"/>
        </w:rPr>
        <w:t>Instrumental in setting up the new fund, including establishment of a prime brokerage relationship, overseeing fund accounting, marketing, as well as portfolio</w:t>
      </w:r>
      <w:r>
        <w:rPr>
          <w:color w:val="000009"/>
          <w:spacing w:val="-14"/>
          <w:sz w:val="22"/>
        </w:rPr>
        <w:t> </w:t>
      </w:r>
      <w:r>
        <w:rPr>
          <w:color w:val="000009"/>
          <w:sz w:val="22"/>
        </w:rPr>
        <w:t>management.</w:t>
      </w:r>
    </w:p>
    <w:p>
      <w:pPr>
        <w:pStyle w:val="BodyText"/>
        <w:rPr>
          <w:sz w:val="24"/>
        </w:rPr>
      </w:pPr>
    </w:p>
    <w:p>
      <w:pPr>
        <w:pStyle w:val="BodyText"/>
        <w:spacing w:before="2"/>
        <w:rPr>
          <w:sz w:val="20"/>
        </w:rPr>
      </w:pPr>
    </w:p>
    <w:p>
      <w:pPr>
        <w:pStyle w:val="Heading1"/>
        <w:tabs>
          <w:tab w:pos="4324" w:val="left" w:leader="none"/>
        </w:tabs>
        <w:ind w:right="3137"/>
      </w:pPr>
      <w:r>
        <w:rPr>
          <w:color w:val="000009"/>
        </w:rPr>
        <w:t>May 2009 – Jul</w:t>
      </w:r>
      <w:r>
        <w:rPr>
          <w:color w:val="000009"/>
          <w:spacing w:val="1"/>
        </w:rPr>
        <w:t> </w:t>
      </w:r>
      <w:r>
        <w:rPr>
          <w:color w:val="000009"/>
        </w:rPr>
        <w:t>2015</w:t>
        <w:tab/>
        <w:t>Senior Markets </w:t>
      </w:r>
      <w:r>
        <w:rPr>
          <w:color w:val="000009"/>
          <w:spacing w:val="-3"/>
        </w:rPr>
        <w:t>Consultant </w:t>
      </w:r>
      <w:r>
        <w:rPr>
          <w:color w:val="000009"/>
        </w:rPr>
        <w:t>Saxo Capital Markets</w:t>
      </w:r>
      <w:r>
        <w:rPr>
          <w:color w:val="000009"/>
          <w:spacing w:val="-3"/>
        </w:rPr>
        <w:t> </w:t>
      </w:r>
      <w:r>
        <w:rPr>
          <w:color w:val="000009"/>
        </w:rPr>
        <w:t>UK</w:t>
      </w:r>
    </w:p>
    <w:p>
      <w:pPr>
        <w:pStyle w:val="ListParagraph"/>
        <w:numPr>
          <w:ilvl w:val="0"/>
          <w:numId w:val="1"/>
        </w:numPr>
        <w:tabs>
          <w:tab w:pos="1279" w:val="left" w:leader="none"/>
        </w:tabs>
        <w:spacing w:line="240" w:lineRule="auto" w:before="0" w:after="0"/>
        <w:ind w:left="1278" w:right="242" w:hanging="360"/>
        <w:jc w:val="both"/>
        <w:rPr>
          <w:rFonts w:ascii="Symbol" w:hAnsi="Symbol"/>
          <w:color w:val="000009"/>
          <w:sz w:val="22"/>
        </w:rPr>
      </w:pPr>
      <w:r>
        <w:rPr>
          <w:color w:val="000009"/>
          <w:sz w:val="22"/>
        </w:rPr>
        <w:t>Provided macro-economic commentary for business media, contact with both printed press and TV-frequent quotations in business press, and over 150 appearances on Bloomberg TV, CNBC, Sky TV, Reuters TV, BBC World, and BBC Radio 4 Today programme to comment </w:t>
      </w:r>
      <w:r>
        <w:rPr>
          <w:color w:val="000009"/>
          <w:spacing w:val="3"/>
          <w:sz w:val="22"/>
        </w:rPr>
        <w:t>on </w:t>
      </w:r>
      <w:r>
        <w:rPr>
          <w:color w:val="000009"/>
          <w:sz w:val="22"/>
        </w:rPr>
        <w:t>global macro-economic</w:t>
      </w:r>
      <w:r>
        <w:rPr>
          <w:color w:val="000009"/>
          <w:spacing w:val="-1"/>
          <w:sz w:val="22"/>
        </w:rPr>
        <w:t> </w:t>
      </w:r>
      <w:r>
        <w:rPr>
          <w:color w:val="000009"/>
          <w:sz w:val="22"/>
        </w:rPr>
        <w:t>developments.</w:t>
      </w:r>
    </w:p>
    <w:p>
      <w:pPr>
        <w:pStyle w:val="BodyText"/>
        <w:rPr>
          <w:sz w:val="24"/>
        </w:rPr>
      </w:pPr>
    </w:p>
    <w:p>
      <w:pPr>
        <w:pStyle w:val="BodyText"/>
        <w:spacing w:before="5"/>
        <w:rPr>
          <w:sz w:val="20"/>
        </w:rPr>
      </w:pPr>
    </w:p>
    <w:p>
      <w:pPr>
        <w:pStyle w:val="Heading1"/>
        <w:tabs>
          <w:tab w:pos="4267" w:val="left" w:leader="none"/>
        </w:tabs>
        <w:ind w:right="4387"/>
      </w:pPr>
      <w:r>
        <w:rPr>
          <w:color w:val="000009"/>
        </w:rPr>
        <w:t>Dec 2006 –</w:t>
      </w:r>
      <w:r>
        <w:rPr>
          <w:color w:val="000009"/>
          <w:spacing w:val="-1"/>
        </w:rPr>
        <w:t> </w:t>
      </w:r>
      <w:r>
        <w:rPr>
          <w:color w:val="000009"/>
        </w:rPr>
        <w:t>Nov 2008</w:t>
        <w:tab/>
        <w:t>Senior </w:t>
      </w:r>
      <w:r>
        <w:rPr>
          <w:color w:val="000009"/>
          <w:spacing w:val="-3"/>
        </w:rPr>
        <w:t>Banker </w:t>
      </w:r>
      <w:r>
        <w:rPr>
          <w:color w:val="000009"/>
        </w:rPr>
        <w:t>Standard Chartered</w:t>
      </w:r>
      <w:r>
        <w:rPr>
          <w:color w:val="000009"/>
          <w:spacing w:val="-3"/>
        </w:rPr>
        <w:t> </w:t>
      </w:r>
      <w:r>
        <w:rPr>
          <w:color w:val="000009"/>
        </w:rPr>
        <w:t>Bank</w:t>
      </w:r>
    </w:p>
    <w:p>
      <w:pPr>
        <w:pStyle w:val="ListParagraph"/>
        <w:numPr>
          <w:ilvl w:val="0"/>
          <w:numId w:val="2"/>
        </w:numPr>
        <w:tabs>
          <w:tab w:pos="1279" w:val="left" w:leader="none"/>
        </w:tabs>
        <w:spacing w:line="242" w:lineRule="auto" w:before="0" w:after="0"/>
        <w:ind w:left="1278" w:right="252" w:hanging="360"/>
        <w:jc w:val="both"/>
        <w:rPr>
          <w:color w:val="000009"/>
          <w:sz w:val="22"/>
        </w:rPr>
      </w:pPr>
      <w:r>
        <w:rPr>
          <w:color w:val="000009"/>
          <w:sz w:val="22"/>
        </w:rPr>
        <w:t>Invited to join an elite global team of 20 Senior Bankers, responsible for managing the bank’s relationships with its top 100</w:t>
      </w:r>
      <w:r>
        <w:rPr>
          <w:color w:val="000009"/>
          <w:spacing w:val="-3"/>
          <w:sz w:val="22"/>
        </w:rPr>
        <w:t> </w:t>
      </w:r>
      <w:r>
        <w:rPr>
          <w:color w:val="000009"/>
          <w:sz w:val="22"/>
        </w:rPr>
        <w:t>clients.</w:t>
      </w:r>
    </w:p>
    <w:p>
      <w:pPr>
        <w:pStyle w:val="ListParagraph"/>
        <w:numPr>
          <w:ilvl w:val="0"/>
          <w:numId w:val="2"/>
        </w:numPr>
        <w:tabs>
          <w:tab w:pos="1279" w:val="left" w:leader="none"/>
        </w:tabs>
        <w:spacing w:line="242" w:lineRule="auto" w:before="0" w:after="0"/>
        <w:ind w:left="1278" w:right="245" w:hanging="360"/>
        <w:jc w:val="both"/>
        <w:rPr>
          <w:color w:val="000009"/>
          <w:sz w:val="22"/>
        </w:rPr>
      </w:pPr>
      <w:r>
        <w:rPr>
          <w:color w:val="000009"/>
          <w:sz w:val="22"/>
        </w:rPr>
        <w:t>Responsible for five large UK-based Hedge Funds, developing high level relationships with CEO’s, owners/founders, and</w:t>
      </w:r>
      <w:r>
        <w:rPr>
          <w:color w:val="000009"/>
          <w:spacing w:val="-1"/>
          <w:sz w:val="22"/>
        </w:rPr>
        <w:t> </w:t>
      </w:r>
      <w:r>
        <w:rPr>
          <w:color w:val="000009"/>
          <w:sz w:val="22"/>
        </w:rPr>
        <w:t>COO’s.</w:t>
      </w:r>
    </w:p>
    <w:p>
      <w:pPr>
        <w:pStyle w:val="ListParagraph"/>
        <w:numPr>
          <w:ilvl w:val="0"/>
          <w:numId w:val="2"/>
        </w:numPr>
        <w:tabs>
          <w:tab w:pos="1278" w:val="left" w:leader="none"/>
          <w:tab w:pos="1279" w:val="left" w:leader="none"/>
        </w:tabs>
        <w:spacing w:line="248" w:lineRule="exact" w:before="0" w:after="0"/>
        <w:ind w:left="1278" w:right="0" w:hanging="360"/>
        <w:jc w:val="left"/>
        <w:rPr>
          <w:color w:val="000009"/>
          <w:sz w:val="22"/>
        </w:rPr>
      </w:pPr>
      <w:r>
        <w:rPr>
          <w:color w:val="000009"/>
          <w:sz w:val="22"/>
        </w:rPr>
        <w:t>Increased revenues eightfold from 2006 to 2008. Initiated major loan</w:t>
      </w:r>
      <w:r>
        <w:rPr>
          <w:color w:val="000009"/>
          <w:spacing w:val="-12"/>
          <w:sz w:val="22"/>
        </w:rPr>
        <w:t> </w:t>
      </w:r>
      <w:r>
        <w:rPr>
          <w:color w:val="000009"/>
          <w:sz w:val="22"/>
        </w:rPr>
        <w:t>facilities.</w:t>
      </w:r>
    </w:p>
    <w:p>
      <w:pPr>
        <w:pStyle w:val="ListParagraph"/>
        <w:numPr>
          <w:ilvl w:val="0"/>
          <w:numId w:val="2"/>
        </w:numPr>
        <w:tabs>
          <w:tab w:pos="1279" w:val="left" w:leader="none"/>
        </w:tabs>
        <w:spacing w:line="240" w:lineRule="auto" w:before="0" w:after="0"/>
        <w:ind w:left="1278" w:right="243" w:hanging="360"/>
        <w:jc w:val="both"/>
        <w:rPr>
          <w:color w:val="000009"/>
          <w:sz w:val="22"/>
        </w:rPr>
      </w:pPr>
      <w:r>
        <w:rPr>
          <w:color w:val="000009"/>
          <w:sz w:val="22"/>
        </w:rPr>
        <w:t>Navigated the bank successfully through the default of one client sub-fund during the financial crisis-eventual zero loss for Standard</w:t>
      </w:r>
      <w:r>
        <w:rPr>
          <w:color w:val="000009"/>
          <w:spacing w:val="-6"/>
          <w:sz w:val="22"/>
        </w:rPr>
        <w:t> </w:t>
      </w:r>
      <w:r>
        <w:rPr>
          <w:color w:val="000009"/>
          <w:sz w:val="22"/>
        </w:rPr>
        <w:t>Chartered.</w:t>
      </w:r>
    </w:p>
    <w:p>
      <w:pPr>
        <w:pStyle w:val="ListParagraph"/>
        <w:numPr>
          <w:ilvl w:val="0"/>
          <w:numId w:val="2"/>
        </w:numPr>
        <w:tabs>
          <w:tab w:pos="1279" w:val="left" w:leader="none"/>
        </w:tabs>
        <w:spacing w:line="240" w:lineRule="auto" w:before="0" w:after="0"/>
        <w:ind w:left="1278" w:right="242" w:hanging="360"/>
        <w:jc w:val="both"/>
        <w:rPr>
          <w:color w:val="000009"/>
          <w:sz w:val="22"/>
        </w:rPr>
      </w:pPr>
      <w:r>
        <w:rPr>
          <w:color w:val="000009"/>
          <w:sz w:val="22"/>
        </w:rPr>
        <w:t>Installed credit risk mitigation measures, e.g. introduction of automated ‘give-up’ systems for trades with hedge</w:t>
      </w:r>
      <w:r>
        <w:rPr>
          <w:color w:val="000009"/>
          <w:spacing w:val="-1"/>
          <w:sz w:val="22"/>
        </w:rPr>
        <w:t> </w:t>
      </w:r>
      <w:r>
        <w:rPr>
          <w:color w:val="000009"/>
          <w:sz w:val="22"/>
        </w:rPr>
        <w:t>funds.</w:t>
      </w:r>
    </w:p>
    <w:p>
      <w:pPr>
        <w:spacing w:after="0" w:line="240" w:lineRule="auto"/>
        <w:jc w:val="both"/>
        <w:rPr>
          <w:sz w:val="22"/>
        </w:rPr>
        <w:sectPr>
          <w:pgSz w:w="11900" w:h="16850"/>
          <w:pgMar w:header="710" w:footer="0" w:top="1200" w:bottom="280" w:left="860" w:right="1020"/>
        </w:sectPr>
      </w:pPr>
    </w:p>
    <w:p>
      <w:pPr>
        <w:pStyle w:val="BodyText"/>
        <w:rPr>
          <w:sz w:val="20"/>
        </w:rPr>
      </w:pPr>
    </w:p>
    <w:p>
      <w:pPr>
        <w:pStyle w:val="BodyText"/>
        <w:spacing w:before="1"/>
      </w:pPr>
    </w:p>
    <w:p>
      <w:pPr>
        <w:pStyle w:val="Heading1"/>
        <w:tabs>
          <w:tab w:pos="4269" w:val="left" w:leader="none"/>
        </w:tabs>
        <w:ind w:right="3966"/>
      </w:pPr>
      <w:r>
        <w:rPr>
          <w:color w:val="000009"/>
        </w:rPr>
        <w:t>Jul 2003 –</w:t>
      </w:r>
      <w:r>
        <w:rPr>
          <w:color w:val="000009"/>
          <w:spacing w:val="-2"/>
        </w:rPr>
        <w:t> </w:t>
      </w:r>
      <w:r>
        <w:rPr>
          <w:color w:val="000009"/>
        </w:rPr>
        <w:t>Dec 2006</w:t>
        <w:tab/>
        <w:t>Global Head of </w:t>
      </w:r>
      <w:r>
        <w:rPr>
          <w:color w:val="000009"/>
          <w:spacing w:val="-9"/>
        </w:rPr>
        <w:t>FX </w:t>
      </w:r>
      <w:r>
        <w:rPr>
          <w:color w:val="000009"/>
        </w:rPr>
        <w:t>Standard Chartered</w:t>
      </w:r>
      <w:r>
        <w:rPr>
          <w:color w:val="000009"/>
          <w:spacing w:val="-3"/>
        </w:rPr>
        <w:t> </w:t>
      </w:r>
      <w:r>
        <w:rPr>
          <w:color w:val="000009"/>
        </w:rPr>
        <w:t>Bank</w:t>
      </w:r>
    </w:p>
    <w:p>
      <w:pPr>
        <w:pStyle w:val="ListParagraph"/>
        <w:numPr>
          <w:ilvl w:val="0"/>
          <w:numId w:val="2"/>
        </w:numPr>
        <w:tabs>
          <w:tab w:pos="1278" w:val="left" w:leader="none"/>
          <w:tab w:pos="1279" w:val="left" w:leader="none"/>
        </w:tabs>
        <w:spacing w:line="249" w:lineRule="exact" w:before="0" w:after="0"/>
        <w:ind w:left="1278" w:right="0" w:hanging="360"/>
        <w:jc w:val="left"/>
        <w:rPr>
          <w:color w:val="000009"/>
          <w:sz w:val="22"/>
        </w:rPr>
      </w:pPr>
      <w:r>
        <w:rPr>
          <w:color w:val="000009"/>
          <w:sz w:val="22"/>
        </w:rPr>
        <w:t>Increased revenues by</w:t>
      </w:r>
      <w:r>
        <w:rPr>
          <w:color w:val="000009"/>
          <w:spacing w:val="-3"/>
          <w:sz w:val="22"/>
        </w:rPr>
        <w:t> </w:t>
      </w:r>
      <w:r>
        <w:rPr>
          <w:color w:val="000009"/>
          <w:sz w:val="22"/>
        </w:rPr>
        <w:t>133%.</w:t>
      </w:r>
    </w:p>
    <w:p>
      <w:pPr>
        <w:pStyle w:val="ListParagraph"/>
        <w:numPr>
          <w:ilvl w:val="0"/>
          <w:numId w:val="2"/>
        </w:numPr>
        <w:tabs>
          <w:tab w:pos="1278" w:val="left" w:leader="none"/>
          <w:tab w:pos="1279" w:val="left" w:leader="none"/>
        </w:tabs>
        <w:spacing w:line="240" w:lineRule="auto" w:before="1" w:after="0"/>
        <w:ind w:left="1278" w:right="248" w:hanging="360"/>
        <w:jc w:val="left"/>
        <w:rPr>
          <w:color w:val="000009"/>
          <w:sz w:val="22"/>
        </w:rPr>
      </w:pPr>
      <w:r>
        <w:rPr>
          <w:color w:val="000009"/>
          <w:sz w:val="22"/>
        </w:rPr>
        <w:t>Product responsibility for Foreign Exchange, (FX), trading, (including Spot and Forward FX, and FX Options), in all geographies. (46 trading rooms, approx 300</w:t>
      </w:r>
      <w:r>
        <w:rPr>
          <w:color w:val="000009"/>
          <w:spacing w:val="-11"/>
          <w:sz w:val="22"/>
        </w:rPr>
        <w:t> </w:t>
      </w:r>
      <w:r>
        <w:rPr>
          <w:color w:val="000009"/>
          <w:sz w:val="22"/>
        </w:rPr>
        <w:t>staff).</w:t>
      </w:r>
    </w:p>
    <w:p>
      <w:pPr>
        <w:pStyle w:val="ListParagraph"/>
        <w:numPr>
          <w:ilvl w:val="0"/>
          <w:numId w:val="2"/>
        </w:numPr>
        <w:tabs>
          <w:tab w:pos="1278" w:val="left" w:leader="none"/>
          <w:tab w:pos="1279" w:val="left" w:leader="none"/>
        </w:tabs>
        <w:spacing w:line="240" w:lineRule="auto" w:before="0" w:after="0"/>
        <w:ind w:left="1278" w:right="252" w:hanging="360"/>
        <w:jc w:val="left"/>
        <w:rPr>
          <w:color w:val="000009"/>
          <w:sz w:val="22"/>
        </w:rPr>
      </w:pPr>
      <w:r>
        <w:rPr>
          <w:color w:val="000009"/>
          <w:sz w:val="22"/>
        </w:rPr>
        <w:t>Recruited highly successful EXCO members from Deutsche Bank, Citibank, ABN, JP Morgan, </w:t>
      </w:r>
      <w:r>
        <w:rPr>
          <w:color w:val="000009"/>
          <w:spacing w:val="-2"/>
          <w:sz w:val="22"/>
        </w:rPr>
        <w:t>UBS</w:t>
      </w:r>
    </w:p>
    <w:p>
      <w:pPr>
        <w:pStyle w:val="ListParagraph"/>
        <w:numPr>
          <w:ilvl w:val="0"/>
          <w:numId w:val="2"/>
        </w:numPr>
        <w:tabs>
          <w:tab w:pos="1278" w:val="left" w:leader="none"/>
          <w:tab w:pos="1279" w:val="left" w:leader="none"/>
        </w:tabs>
        <w:spacing w:line="240" w:lineRule="auto" w:before="0" w:after="0"/>
        <w:ind w:left="1278" w:right="0" w:hanging="360"/>
        <w:jc w:val="left"/>
        <w:rPr>
          <w:color w:val="000009"/>
          <w:sz w:val="22"/>
        </w:rPr>
      </w:pPr>
      <w:r>
        <w:rPr>
          <w:color w:val="000009"/>
          <w:sz w:val="22"/>
        </w:rPr>
        <w:t>Invited to join the Bank of England Foreign Exchange Joint Standing</w:t>
      </w:r>
      <w:r>
        <w:rPr>
          <w:color w:val="000009"/>
          <w:spacing w:val="-14"/>
          <w:sz w:val="22"/>
        </w:rPr>
        <w:t> </w:t>
      </w:r>
      <w:r>
        <w:rPr>
          <w:color w:val="000009"/>
          <w:sz w:val="22"/>
        </w:rPr>
        <w:t>Committee.</w:t>
      </w:r>
    </w:p>
    <w:p>
      <w:pPr>
        <w:pStyle w:val="BodyText"/>
        <w:spacing w:before="8"/>
        <w:rPr>
          <w:sz w:val="20"/>
        </w:rPr>
      </w:pPr>
    </w:p>
    <w:p>
      <w:pPr>
        <w:tabs>
          <w:tab w:pos="4288" w:val="left" w:leader="none"/>
        </w:tabs>
        <w:spacing w:before="1"/>
        <w:ind w:left="558" w:right="3658" w:firstLine="0"/>
        <w:jc w:val="left"/>
        <w:rPr>
          <w:rFonts w:ascii="Cambria"/>
          <w:b/>
          <w:sz w:val="20"/>
        </w:rPr>
      </w:pPr>
      <w:r>
        <w:rPr>
          <w:rFonts w:ascii="Cambria"/>
          <w:b/>
          <w:color w:val="000009"/>
          <w:sz w:val="20"/>
        </w:rPr>
        <w:t>June</w:t>
      </w:r>
      <w:r>
        <w:rPr>
          <w:rFonts w:ascii="Cambria"/>
          <w:b/>
          <w:color w:val="000009"/>
          <w:spacing w:val="-4"/>
          <w:sz w:val="20"/>
        </w:rPr>
        <w:t> </w:t>
      </w:r>
      <w:r>
        <w:rPr>
          <w:rFonts w:ascii="Cambria"/>
          <w:b/>
          <w:color w:val="000009"/>
          <w:sz w:val="20"/>
        </w:rPr>
        <w:t>1995-June</w:t>
      </w:r>
      <w:r>
        <w:rPr>
          <w:rFonts w:ascii="Cambria"/>
          <w:b/>
          <w:color w:val="000009"/>
          <w:spacing w:val="-1"/>
          <w:sz w:val="20"/>
        </w:rPr>
        <w:t> </w:t>
      </w:r>
      <w:r>
        <w:rPr>
          <w:rFonts w:ascii="Cambria"/>
          <w:b/>
          <w:color w:val="000009"/>
          <w:sz w:val="20"/>
        </w:rPr>
        <w:t>2003</w:t>
        <w:tab/>
        <w:t>UK Head of FX Trading Deutsche Bank</w:t>
      </w:r>
    </w:p>
    <w:p>
      <w:pPr>
        <w:pStyle w:val="BodyText"/>
        <w:spacing w:before="6"/>
        <w:rPr>
          <w:rFonts w:ascii="Cambria"/>
          <w:b/>
          <w:sz w:val="19"/>
        </w:rPr>
      </w:pPr>
    </w:p>
    <w:p>
      <w:pPr>
        <w:pStyle w:val="ListParagraph"/>
        <w:numPr>
          <w:ilvl w:val="0"/>
          <w:numId w:val="2"/>
        </w:numPr>
        <w:tabs>
          <w:tab w:pos="1278" w:val="left" w:leader="none"/>
          <w:tab w:pos="1279" w:val="left" w:leader="none"/>
        </w:tabs>
        <w:spacing w:line="240" w:lineRule="auto" w:before="0" w:after="0"/>
        <w:ind w:left="1278" w:right="249" w:hanging="360"/>
        <w:jc w:val="left"/>
        <w:rPr>
          <w:color w:val="000009"/>
          <w:sz w:val="22"/>
        </w:rPr>
      </w:pPr>
      <w:r>
        <w:rPr>
          <w:color w:val="000009"/>
          <w:sz w:val="22"/>
        </w:rPr>
        <w:t>Member of global FX Trading Exco which took Deutsche Bank from No. 23 in the annual Euromoney FX industry survey, to No.1 in 5</w:t>
      </w:r>
      <w:r>
        <w:rPr>
          <w:color w:val="000009"/>
          <w:spacing w:val="-4"/>
          <w:sz w:val="22"/>
        </w:rPr>
        <w:t> </w:t>
      </w:r>
      <w:r>
        <w:rPr>
          <w:color w:val="000009"/>
          <w:sz w:val="22"/>
        </w:rPr>
        <w:t>years.</w:t>
      </w:r>
    </w:p>
    <w:p>
      <w:pPr>
        <w:pStyle w:val="BodyText"/>
        <w:spacing w:before="10"/>
        <w:rPr>
          <w:sz w:val="20"/>
        </w:rPr>
      </w:pPr>
    </w:p>
    <w:p>
      <w:pPr>
        <w:pStyle w:val="Heading1"/>
        <w:spacing w:before="1"/>
      </w:pPr>
      <w:r>
        <w:rPr>
          <w:color w:val="000009"/>
        </w:rPr>
        <w:t>Further roles available upon request</w:t>
      </w:r>
    </w:p>
    <w:p>
      <w:pPr>
        <w:pStyle w:val="BodyText"/>
        <w:rPr>
          <w:b/>
          <w:sz w:val="24"/>
        </w:rPr>
      </w:pPr>
    </w:p>
    <w:p>
      <w:pPr>
        <w:pStyle w:val="BodyText"/>
        <w:spacing w:before="8"/>
        <w:rPr>
          <w:b/>
          <w:sz w:val="20"/>
        </w:rPr>
      </w:pPr>
    </w:p>
    <w:p>
      <w:pPr>
        <w:tabs>
          <w:tab w:pos="4212" w:val="left" w:leader="none"/>
        </w:tabs>
        <w:spacing w:before="1"/>
        <w:ind w:left="558" w:right="4853" w:firstLine="0"/>
        <w:jc w:val="left"/>
        <w:rPr>
          <w:b/>
          <w:sz w:val="22"/>
        </w:rPr>
      </w:pPr>
      <w:r>
        <w:rPr>
          <w:b/>
          <w:color w:val="000009"/>
          <w:sz w:val="22"/>
        </w:rPr>
        <w:t>February 1993 –</w:t>
      </w:r>
      <w:r>
        <w:rPr>
          <w:b/>
          <w:color w:val="000009"/>
          <w:spacing w:val="-5"/>
          <w:sz w:val="22"/>
        </w:rPr>
        <w:t> </w:t>
      </w:r>
      <w:r>
        <w:rPr>
          <w:b/>
          <w:color w:val="000009"/>
          <w:sz w:val="22"/>
        </w:rPr>
        <w:t>May 1995</w:t>
        <w:tab/>
      </w:r>
      <w:r>
        <w:rPr>
          <w:b/>
          <w:color w:val="000009"/>
          <w:spacing w:val="-3"/>
          <w:sz w:val="22"/>
        </w:rPr>
        <w:t>Treasurer </w:t>
      </w:r>
      <w:r>
        <w:rPr>
          <w:b/>
          <w:color w:val="000009"/>
          <w:sz w:val="22"/>
        </w:rPr>
        <w:t>Citibank</w:t>
      </w:r>
      <w:r>
        <w:rPr>
          <w:b/>
          <w:color w:val="000009"/>
          <w:spacing w:val="-2"/>
          <w:sz w:val="22"/>
        </w:rPr>
        <w:t> </w:t>
      </w:r>
      <w:r>
        <w:rPr>
          <w:b/>
          <w:color w:val="000009"/>
          <w:sz w:val="22"/>
        </w:rPr>
        <w:t>UK</w:t>
      </w:r>
    </w:p>
    <w:p>
      <w:pPr>
        <w:pStyle w:val="ListParagraph"/>
        <w:numPr>
          <w:ilvl w:val="0"/>
          <w:numId w:val="2"/>
        </w:numPr>
        <w:tabs>
          <w:tab w:pos="1278" w:val="left" w:leader="none"/>
          <w:tab w:pos="1279" w:val="left" w:leader="none"/>
        </w:tabs>
        <w:spacing w:line="242" w:lineRule="auto" w:before="0" w:after="0"/>
        <w:ind w:left="1278" w:right="254" w:hanging="360"/>
        <w:jc w:val="left"/>
        <w:rPr>
          <w:color w:val="000009"/>
          <w:sz w:val="22"/>
        </w:rPr>
      </w:pPr>
      <w:r>
        <w:rPr>
          <w:color w:val="000009"/>
          <w:sz w:val="22"/>
        </w:rPr>
        <w:t>Appointed at the age of 33, with responsibility for £30bn balance sheet, including mortgages, personal loans and car finance.</w:t>
      </w:r>
    </w:p>
    <w:p>
      <w:pPr>
        <w:pStyle w:val="ListParagraph"/>
        <w:numPr>
          <w:ilvl w:val="0"/>
          <w:numId w:val="2"/>
        </w:numPr>
        <w:tabs>
          <w:tab w:pos="1278" w:val="left" w:leader="none"/>
          <w:tab w:pos="1279" w:val="left" w:leader="none"/>
        </w:tabs>
        <w:spacing w:line="240" w:lineRule="auto" w:before="0" w:after="0"/>
        <w:ind w:left="1278" w:right="241" w:hanging="360"/>
        <w:jc w:val="left"/>
        <w:rPr>
          <w:color w:val="000009"/>
          <w:sz w:val="22"/>
        </w:rPr>
      </w:pPr>
      <w:r>
        <w:rPr>
          <w:color w:val="000009"/>
          <w:sz w:val="22"/>
        </w:rPr>
        <w:t>Responsible for balance sheet structure, (both London branch and UK subsidiary),</w:t>
      </w:r>
      <w:r>
        <w:rPr>
          <w:color w:val="000009"/>
          <w:spacing w:val="23"/>
          <w:sz w:val="22"/>
        </w:rPr>
        <w:t> </w:t>
      </w:r>
      <w:r>
        <w:rPr>
          <w:color w:val="000009"/>
          <w:sz w:val="22"/>
        </w:rPr>
        <w:t>money market trading, forward FX, and OTC interest rate derivatives, (up to 2-year</w:t>
      </w:r>
      <w:r>
        <w:rPr>
          <w:color w:val="000009"/>
          <w:spacing w:val="-14"/>
          <w:sz w:val="22"/>
        </w:rPr>
        <w:t> </w:t>
      </w:r>
      <w:r>
        <w:rPr>
          <w:color w:val="000009"/>
          <w:sz w:val="22"/>
        </w:rPr>
        <w:t>maturity).</w:t>
      </w:r>
    </w:p>
    <w:p>
      <w:pPr>
        <w:pStyle w:val="ListParagraph"/>
        <w:numPr>
          <w:ilvl w:val="0"/>
          <w:numId w:val="2"/>
        </w:numPr>
        <w:tabs>
          <w:tab w:pos="1279" w:val="left" w:leader="none"/>
        </w:tabs>
        <w:spacing w:line="240" w:lineRule="auto" w:before="0" w:after="0"/>
        <w:ind w:left="1278" w:right="242" w:hanging="360"/>
        <w:jc w:val="both"/>
        <w:rPr>
          <w:color w:val="000009"/>
          <w:sz w:val="22"/>
        </w:rPr>
      </w:pPr>
      <w:r>
        <w:rPr>
          <w:color w:val="000009"/>
          <w:sz w:val="22"/>
        </w:rPr>
        <w:t>Chairman of UK ALCO, and hence handled internal interface with relationship management, (lending officers), the Cash Management division, and external relationship with the Bank of England.</w:t>
      </w:r>
    </w:p>
    <w:p>
      <w:pPr>
        <w:pStyle w:val="BodyText"/>
        <w:spacing w:before="6"/>
        <w:rPr>
          <w:sz w:val="21"/>
        </w:rPr>
      </w:pPr>
    </w:p>
    <w:p>
      <w:pPr>
        <w:pStyle w:val="Heading1"/>
        <w:tabs>
          <w:tab w:pos="4209" w:val="left" w:leader="none"/>
        </w:tabs>
        <w:ind w:right="2114"/>
      </w:pPr>
      <w:r>
        <w:rPr>
          <w:color w:val="000009"/>
        </w:rPr>
        <w:t>August 1981 –</w:t>
      </w:r>
      <w:r>
        <w:rPr>
          <w:color w:val="000009"/>
          <w:spacing w:val="-3"/>
        </w:rPr>
        <w:t> </w:t>
      </w:r>
      <w:r>
        <w:rPr>
          <w:color w:val="000009"/>
        </w:rPr>
        <w:t>February 1993</w:t>
        <w:tab/>
        <w:t>Head of Spot and Forward FX Trading Citibank</w:t>
      </w:r>
      <w:r>
        <w:rPr>
          <w:color w:val="000009"/>
          <w:spacing w:val="-2"/>
        </w:rPr>
        <w:t> </w:t>
      </w:r>
      <w:r>
        <w:rPr>
          <w:color w:val="000009"/>
        </w:rPr>
        <w:t>UK</w:t>
      </w:r>
    </w:p>
    <w:p>
      <w:pPr>
        <w:pStyle w:val="BodyText"/>
        <w:spacing w:before="7"/>
        <w:rPr>
          <w:b/>
          <w:sz w:val="21"/>
        </w:rPr>
      </w:pPr>
    </w:p>
    <w:p>
      <w:pPr>
        <w:pStyle w:val="ListParagraph"/>
        <w:numPr>
          <w:ilvl w:val="0"/>
          <w:numId w:val="1"/>
        </w:numPr>
        <w:tabs>
          <w:tab w:pos="1278" w:val="left" w:leader="none"/>
          <w:tab w:pos="1279" w:val="left" w:leader="none"/>
        </w:tabs>
        <w:spacing w:line="240" w:lineRule="auto" w:before="0" w:after="0"/>
        <w:ind w:left="1278" w:right="0" w:hanging="360"/>
        <w:jc w:val="left"/>
        <w:rPr>
          <w:rFonts w:ascii="Symbol" w:hAnsi="Symbol"/>
          <w:color w:val="000009"/>
          <w:sz w:val="22"/>
        </w:rPr>
      </w:pPr>
      <w:r>
        <w:rPr>
          <w:color w:val="000009"/>
          <w:sz w:val="22"/>
        </w:rPr>
        <w:t>Increased revenues to in excess of</w:t>
      </w:r>
      <w:r>
        <w:rPr>
          <w:color w:val="000009"/>
          <w:spacing w:val="-8"/>
          <w:sz w:val="22"/>
        </w:rPr>
        <w:t> </w:t>
      </w:r>
      <w:r>
        <w:rPr>
          <w:color w:val="000009"/>
          <w:sz w:val="22"/>
        </w:rPr>
        <w:t>US$200m</w:t>
      </w:r>
    </w:p>
    <w:p>
      <w:pPr>
        <w:pStyle w:val="BodyText"/>
        <w:spacing w:before="5"/>
      </w:pPr>
    </w:p>
    <w:p>
      <w:pPr>
        <w:pStyle w:val="Heading1"/>
      </w:pPr>
      <w:r>
        <w:rPr>
          <w:color w:val="000009"/>
        </w:rPr>
        <w:t>Further roles available upon request</w:t>
      </w:r>
    </w:p>
    <w:p>
      <w:pPr>
        <w:pStyle w:val="BodyText"/>
        <w:rPr>
          <w:b/>
          <w:sz w:val="20"/>
        </w:rPr>
      </w:pPr>
    </w:p>
    <w:p>
      <w:pPr>
        <w:pStyle w:val="BodyText"/>
        <w:rPr>
          <w:b/>
          <w:sz w:val="20"/>
        </w:rPr>
      </w:pPr>
    </w:p>
    <w:p>
      <w:pPr>
        <w:pStyle w:val="BodyText"/>
        <w:rPr>
          <w:b/>
          <w:sz w:val="20"/>
        </w:rPr>
      </w:pPr>
    </w:p>
    <w:p>
      <w:pPr>
        <w:pStyle w:val="BodyText"/>
        <w:spacing w:before="4"/>
        <w:rPr>
          <w:b/>
          <w:sz w:val="28"/>
        </w:rPr>
      </w:pPr>
    </w:p>
    <w:tbl>
      <w:tblPr>
        <w:tblW w:w="0" w:type="auto"/>
        <w:jc w:val="left"/>
        <w:tblInd w:w="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849"/>
        <w:gridCol w:w="5923"/>
        <w:gridCol w:w="1934"/>
      </w:tblGrid>
      <w:tr>
        <w:trPr>
          <w:trHeight w:val="317" w:hRule="atLeast"/>
        </w:trPr>
        <w:tc>
          <w:tcPr>
            <w:tcW w:w="1849" w:type="dxa"/>
          </w:tcPr>
          <w:p>
            <w:pPr>
              <w:pStyle w:val="TableParagraph"/>
              <w:rPr>
                <w:sz w:val="22"/>
              </w:rPr>
            </w:pPr>
          </w:p>
        </w:tc>
        <w:tc>
          <w:tcPr>
            <w:tcW w:w="5923" w:type="dxa"/>
            <w:shd w:val="clear" w:color="auto" w:fill="F3F3F3"/>
          </w:tcPr>
          <w:p>
            <w:pPr>
              <w:pStyle w:val="TableParagraph"/>
              <w:tabs>
                <w:tab w:pos="328" w:val="left" w:leader="none"/>
                <w:tab w:pos="7948" w:val="left" w:leader="none"/>
              </w:tabs>
              <w:spacing w:line="298" w:lineRule="exact"/>
              <w:ind w:left="-1837" w:right="-2031"/>
              <w:rPr>
                <w:b/>
                <w:sz w:val="22"/>
              </w:rPr>
            </w:pPr>
            <w:r>
              <w:rPr>
                <w:b/>
                <w:w w:val="100"/>
                <w:sz w:val="28"/>
                <w:shd w:fill="F3F3F3" w:color="auto" w:val="clear"/>
              </w:rPr>
              <w:t> </w:t>
            </w:r>
            <w:r>
              <w:rPr>
                <w:b/>
                <w:sz w:val="28"/>
                <w:shd w:fill="F3F3F3" w:color="auto" w:val="clear"/>
              </w:rPr>
              <w:tab/>
              <w:t>E</w:t>
            </w:r>
            <w:r>
              <w:rPr>
                <w:b/>
                <w:sz w:val="22"/>
                <w:shd w:fill="F3F3F3" w:color="auto" w:val="clear"/>
              </w:rPr>
              <w:t>DUCATION </w:t>
            </w:r>
            <w:r>
              <w:rPr>
                <w:b/>
                <w:sz w:val="28"/>
                <w:shd w:fill="F3F3F3" w:color="auto" w:val="clear"/>
              </w:rPr>
              <w:t>&amp; P</w:t>
            </w:r>
            <w:r>
              <w:rPr>
                <w:b/>
                <w:sz w:val="22"/>
                <w:shd w:fill="F3F3F3" w:color="auto" w:val="clear"/>
              </w:rPr>
              <w:t>ROFESSIONAL</w:t>
            </w:r>
            <w:r>
              <w:rPr>
                <w:b/>
                <w:spacing w:val="-29"/>
                <w:sz w:val="22"/>
                <w:shd w:fill="F3F3F3" w:color="auto" w:val="clear"/>
              </w:rPr>
              <w:t> </w:t>
            </w:r>
            <w:r>
              <w:rPr>
                <w:b/>
                <w:sz w:val="28"/>
                <w:shd w:fill="F3F3F3" w:color="auto" w:val="clear"/>
              </w:rPr>
              <w:t>D</w:t>
            </w:r>
            <w:r>
              <w:rPr>
                <w:b/>
                <w:sz w:val="22"/>
                <w:shd w:fill="F3F3F3" w:color="auto" w:val="clear"/>
              </w:rPr>
              <w:t>EVELOPMENT</w:t>
              <w:tab/>
            </w:r>
          </w:p>
        </w:tc>
        <w:tc>
          <w:tcPr>
            <w:tcW w:w="1934" w:type="dxa"/>
            <w:shd w:val="clear" w:color="auto" w:fill="F3F3F3"/>
          </w:tcPr>
          <w:p>
            <w:pPr>
              <w:pStyle w:val="TableParagraph"/>
              <w:rPr>
                <w:sz w:val="22"/>
              </w:rPr>
            </w:pPr>
          </w:p>
        </w:tc>
      </w:tr>
    </w:tbl>
    <w:p>
      <w:pPr>
        <w:pStyle w:val="BodyText"/>
        <w:spacing w:before="2"/>
        <w:rPr>
          <w:b/>
          <w:sz w:val="14"/>
        </w:rPr>
      </w:pPr>
    </w:p>
    <w:p>
      <w:pPr>
        <w:pStyle w:val="ListParagraph"/>
        <w:numPr>
          <w:ilvl w:val="0"/>
          <w:numId w:val="2"/>
        </w:numPr>
        <w:tabs>
          <w:tab w:pos="1278" w:val="left" w:leader="none"/>
          <w:tab w:pos="1279" w:val="left" w:leader="none"/>
          <w:tab w:pos="2719" w:val="left" w:leader="none"/>
        </w:tabs>
        <w:spacing w:line="240" w:lineRule="auto" w:before="91" w:after="0"/>
        <w:ind w:left="1278" w:right="0" w:hanging="360"/>
        <w:jc w:val="left"/>
        <w:rPr>
          <w:color w:val="000009"/>
          <w:sz w:val="22"/>
        </w:rPr>
      </w:pPr>
      <w:r>
        <w:rPr>
          <w:color w:val="000009"/>
          <w:sz w:val="22"/>
        </w:rPr>
        <w:t>1981</w:t>
        <w:tab/>
        <w:t>M.A. Hons, Physics, The Queen’s College, Oxford</w:t>
      </w:r>
      <w:r>
        <w:rPr>
          <w:color w:val="000009"/>
          <w:spacing w:val="-4"/>
          <w:sz w:val="22"/>
        </w:rPr>
        <w:t> </w:t>
      </w:r>
      <w:r>
        <w:rPr>
          <w:color w:val="000009"/>
          <w:sz w:val="22"/>
        </w:rPr>
        <w:t>University</w:t>
      </w:r>
    </w:p>
    <w:p>
      <w:pPr>
        <w:pStyle w:val="BodyText"/>
        <w:rPr>
          <w:sz w:val="20"/>
        </w:rPr>
      </w:pPr>
    </w:p>
    <w:p>
      <w:pPr>
        <w:pStyle w:val="BodyText"/>
        <w:spacing w:before="1"/>
        <w:rPr>
          <w:sz w:val="25"/>
        </w:rPr>
      </w:pPr>
    </w:p>
    <w:tbl>
      <w:tblPr>
        <w:tblW w:w="0" w:type="auto"/>
        <w:jc w:val="left"/>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07"/>
        <w:gridCol w:w="6534"/>
        <w:gridCol w:w="1699"/>
      </w:tblGrid>
      <w:tr>
        <w:trPr>
          <w:trHeight w:val="317" w:hRule="atLeast"/>
        </w:trPr>
        <w:tc>
          <w:tcPr>
            <w:tcW w:w="1507" w:type="dxa"/>
          </w:tcPr>
          <w:p>
            <w:pPr>
              <w:pStyle w:val="TableParagraph"/>
              <w:rPr>
                <w:sz w:val="22"/>
              </w:rPr>
            </w:pPr>
          </w:p>
        </w:tc>
        <w:tc>
          <w:tcPr>
            <w:tcW w:w="6534" w:type="dxa"/>
            <w:shd w:val="clear" w:color="auto" w:fill="F3F3F3"/>
          </w:tcPr>
          <w:p>
            <w:pPr>
              <w:pStyle w:val="TableParagraph"/>
              <w:tabs>
                <w:tab w:pos="466" w:val="left" w:leader="none"/>
                <w:tab w:pos="8261" w:val="left" w:leader="none"/>
              </w:tabs>
              <w:spacing w:line="298" w:lineRule="exact"/>
              <w:ind w:left="-1524" w:right="-1728"/>
              <w:rPr>
                <w:b/>
                <w:sz w:val="22"/>
              </w:rPr>
            </w:pPr>
            <w:r>
              <w:rPr>
                <w:b/>
                <w:w w:val="100"/>
                <w:sz w:val="28"/>
                <w:shd w:fill="F3F3F3" w:color="auto" w:val="clear"/>
              </w:rPr>
              <w:t> </w:t>
            </w:r>
            <w:r>
              <w:rPr>
                <w:b/>
                <w:sz w:val="28"/>
                <w:shd w:fill="F3F3F3" w:color="auto" w:val="clear"/>
              </w:rPr>
              <w:tab/>
              <w:t>E</w:t>
            </w:r>
            <w:r>
              <w:rPr>
                <w:b/>
                <w:sz w:val="22"/>
                <w:shd w:fill="F3F3F3" w:color="auto" w:val="clear"/>
              </w:rPr>
              <w:t>XTRA</w:t>
            </w:r>
            <w:r>
              <w:rPr>
                <w:b/>
                <w:sz w:val="28"/>
                <w:shd w:fill="F3F3F3" w:color="auto" w:val="clear"/>
              </w:rPr>
              <w:t>-P</w:t>
            </w:r>
            <w:r>
              <w:rPr>
                <w:b/>
                <w:sz w:val="22"/>
                <w:shd w:fill="F3F3F3" w:color="auto" w:val="clear"/>
              </w:rPr>
              <w:t>ROFESSIONAL </w:t>
            </w:r>
            <w:r>
              <w:rPr>
                <w:b/>
                <w:sz w:val="28"/>
                <w:shd w:fill="F3F3F3" w:color="auto" w:val="clear"/>
              </w:rPr>
              <w:t>A</w:t>
            </w:r>
            <w:r>
              <w:rPr>
                <w:b/>
                <w:sz w:val="22"/>
                <w:shd w:fill="F3F3F3" w:color="auto" w:val="clear"/>
              </w:rPr>
              <w:t>CTIVITIES </w:t>
            </w:r>
            <w:r>
              <w:rPr>
                <w:b/>
                <w:sz w:val="28"/>
                <w:shd w:fill="F3F3F3" w:color="auto" w:val="clear"/>
              </w:rPr>
              <w:t>&amp;</w:t>
            </w:r>
            <w:r>
              <w:rPr>
                <w:b/>
                <w:spacing w:val="-32"/>
                <w:sz w:val="28"/>
                <w:shd w:fill="F3F3F3" w:color="auto" w:val="clear"/>
              </w:rPr>
              <w:t> </w:t>
            </w:r>
            <w:r>
              <w:rPr>
                <w:b/>
                <w:sz w:val="28"/>
                <w:shd w:fill="F3F3F3" w:color="auto" w:val="clear"/>
              </w:rPr>
              <w:t>I</w:t>
            </w:r>
            <w:r>
              <w:rPr>
                <w:b/>
                <w:sz w:val="22"/>
                <w:shd w:fill="F3F3F3" w:color="auto" w:val="clear"/>
              </w:rPr>
              <w:t>NTERESTS</w:t>
              <w:tab/>
            </w:r>
          </w:p>
        </w:tc>
        <w:tc>
          <w:tcPr>
            <w:tcW w:w="1699" w:type="dxa"/>
          </w:tcPr>
          <w:p>
            <w:pPr>
              <w:pStyle w:val="TableParagraph"/>
              <w:rPr>
                <w:sz w:val="22"/>
              </w:rPr>
            </w:pPr>
          </w:p>
        </w:tc>
      </w:tr>
    </w:tbl>
    <w:p>
      <w:pPr>
        <w:pStyle w:val="BodyText"/>
        <w:spacing w:before="9"/>
        <w:rPr>
          <w:sz w:val="13"/>
        </w:rPr>
      </w:pPr>
    </w:p>
    <w:p>
      <w:pPr>
        <w:pStyle w:val="ListParagraph"/>
        <w:numPr>
          <w:ilvl w:val="0"/>
          <w:numId w:val="2"/>
        </w:numPr>
        <w:tabs>
          <w:tab w:pos="1278" w:val="left" w:leader="none"/>
          <w:tab w:pos="1279" w:val="left" w:leader="none"/>
        </w:tabs>
        <w:spacing w:line="240" w:lineRule="auto" w:before="91" w:after="0"/>
        <w:ind w:left="1278" w:right="384" w:hanging="360"/>
        <w:jc w:val="left"/>
        <w:rPr>
          <w:sz w:val="22"/>
        </w:rPr>
      </w:pPr>
      <w:r>
        <w:rPr>
          <w:sz w:val="22"/>
        </w:rPr>
        <w:t>Chairman of my village’s Save the Pub campaign - persuaded 300 residents to invest £310,000 to buy the freehold for our pub when Enterprise Inns decided to</w:t>
      </w:r>
      <w:r>
        <w:rPr>
          <w:spacing w:val="-13"/>
          <w:sz w:val="22"/>
        </w:rPr>
        <w:t> </w:t>
      </w:r>
      <w:r>
        <w:rPr>
          <w:sz w:val="22"/>
        </w:rPr>
        <w:t>sell.</w:t>
      </w:r>
    </w:p>
    <w:p>
      <w:pPr>
        <w:pStyle w:val="ListParagraph"/>
        <w:numPr>
          <w:ilvl w:val="0"/>
          <w:numId w:val="2"/>
        </w:numPr>
        <w:tabs>
          <w:tab w:pos="1278" w:val="left" w:leader="none"/>
          <w:tab w:pos="1279" w:val="left" w:leader="none"/>
        </w:tabs>
        <w:spacing w:line="251" w:lineRule="exact" w:before="0" w:after="0"/>
        <w:ind w:left="1278" w:right="0" w:hanging="360"/>
        <w:jc w:val="left"/>
        <w:rPr>
          <w:color w:val="000009"/>
          <w:sz w:val="22"/>
        </w:rPr>
      </w:pPr>
      <w:r>
        <w:rPr>
          <w:sz w:val="22"/>
        </w:rPr>
        <w:t>Member of village cricket club</w:t>
      </w:r>
      <w:r>
        <w:rPr>
          <w:spacing w:val="-1"/>
          <w:sz w:val="22"/>
        </w:rPr>
        <w:t> </w:t>
      </w:r>
      <w:r>
        <w:rPr>
          <w:sz w:val="22"/>
        </w:rPr>
        <w:t>committee.</w:t>
      </w:r>
    </w:p>
    <w:p>
      <w:pPr>
        <w:pStyle w:val="ListParagraph"/>
        <w:numPr>
          <w:ilvl w:val="0"/>
          <w:numId w:val="2"/>
        </w:numPr>
        <w:tabs>
          <w:tab w:pos="1278" w:val="left" w:leader="none"/>
          <w:tab w:pos="1279" w:val="left" w:leader="none"/>
        </w:tabs>
        <w:spacing w:line="240" w:lineRule="auto" w:before="2" w:after="0"/>
        <w:ind w:left="1278" w:right="0" w:hanging="360"/>
        <w:jc w:val="left"/>
        <w:rPr>
          <w:sz w:val="22"/>
        </w:rPr>
      </w:pPr>
      <w:r>
        <w:rPr>
          <w:sz w:val="22"/>
        </w:rPr>
        <w:t>Playing and watching cricket, playing golf, skiing, classic car</w:t>
      </w:r>
      <w:r>
        <w:rPr>
          <w:spacing w:val="-15"/>
          <w:sz w:val="22"/>
        </w:rPr>
        <w:t> </w:t>
      </w:r>
      <w:r>
        <w:rPr>
          <w:sz w:val="22"/>
        </w:rPr>
        <w:t>rallies.</w:t>
      </w:r>
    </w:p>
    <w:sectPr>
      <w:pgSz w:w="11900" w:h="16850"/>
      <w:pgMar w:header="710" w:footer="0" w:top="1200" w:bottom="280" w:left="86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mbria">
    <w:altName w:val="Cambria"/>
    <w:charset w:val="0"/>
    <w:family w:val="roman"/>
    <w:pitch w:val="variable"/>
  </w:font>
  <w:font w:name="Segoe UI">
    <w:altName w:val="Segoe UI"/>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174.25pt;margin-top:34.522087pt;width:243.6pt;height:26.85pt;mso-position-horizontal-relative:page;mso-position-vertical-relative:page;z-index:-6688" type="#_x0000_t202" filled="false" stroked="false">
          <v:textbox inset="0,0,0,0">
            <w:txbxContent>
              <w:p>
                <w:pPr>
                  <w:spacing w:before="11"/>
                  <w:ind w:left="1028" w:right="-16" w:hanging="1008"/>
                  <w:jc w:val="left"/>
                  <w:rPr>
                    <w:rFonts w:ascii="Segoe UI"/>
                    <w:sz w:val="18"/>
                  </w:rPr>
                </w:pPr>
                <w:r>
                  <w:rPr>
                    <w:sz w:val="22"/>
                  </w:rPr>
                  <w:t>M: +44 (0)7770 431147 E: </w:t>
                </w:r>
                <w:hyperlink r:id="rId1">
                  <w:r>
                    <w:rPr>
                      <w:color w:val="0000FF"/>
                      <w:sz w:val="22"/>
                      <w:u w:val="single" w:color="0000FF"/>
                    </w:rPr>
                    <w:t>nbeecroft1@btinternet.com</w:t>
                  </w:r>
                </w:hyperlink>
                <w:r>
                  <w:rPr>
                    <w:color w:val="0000FF"/>
                    <w:sz w:val="22"/>
                  </w:rPr>
                  <w:t> </w:t>
                </w:r>
                <w:r>
                  <w:rPr>
                    <w:color w:val="000009"/>
                    <w:sz w:val="22"/>
                  </w:rPr>
                  <w:t>LI: </w:t>
                </w:r>
                <w:hyperlink r:id="rId2">
                  <w:r>
                    <w:rPr>
                      <w:rFonts w:ascii="Segoe UI"/>
                      <w:sz w:val="18"/>
                    </w:rPr>
                    <w:t>www.linkedin.com/in/nickbeecroft</w:t>
                  </w:r>
                </w:hyperlink>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278" w:hanging="360"/>
      </w:pPr>
      <w:rPr>
        <w:rFonts w:hint="default"/>
        <w:w w:val="100"/>
        <w:lang w:val="en-gb" w:eastAsia="en-gb" w:bidi="en-gb"/>
      </w:rPr>
    </w:lvl>
    <w:lvl w:ilvl="1">
      <w:start w:val="0"/>
      <w:numFmt w:val="bullet"/>
      <w:lvlText w:val="•"/>
      <w:lvlJc w:val="left"/>
      <w:pPr>
        <w:ind w:left="2153" w:hanging="360"/>
      </w:pPr>
      <w:rPr>
        <w:rFonts w:hint="default"/>
        <w:lang w:val="en-gb" w:eastAsia="en-gb" w:bidi="en-gb"/>
      </w:rPr>
    </w:lvl>
    <w:lvl w:ilvl="2">
      <w:start w:val="0"/>
      <w:numFmt w:val="bullet"/>
      <w:lvlText w:val="•"/>
      <w:lvlJc w:val="left"/>
      <w:pPr>
        <w:ind w:left="3027" w:hanging="360"/>
      </w:pPr>
      <w:rPr>
        <w:rFonts w:hint="default"/>
        <w:lang w:val="en-gb" w:eastAsia="en-gb" w:bidi="en-gb"/>
      </w:rPr>
    </w:lvl>
    <w:lvl w:ilvl="3">
      <w:start w:val="0"/>
      <w:numFmt w:val="bullet"/>
      <w:lvlText w:val="•"/>
      <w:lvlJc w:val="left"/>
      <w:pPr>
        <w:ind w:left="3901" w:hanging="360"/>
      </w:pPr>
      <w:rPr>
        <w:rFonts w:hint="default"/>
        <w:lang w:val="en-gb" w:eastAsia="en-gb" w:bidi="en-gb"/>
      </w:rPr>
    </w:lvl>
    <w:lvl w:ilvl="4">
      <w:start w:val="0"/>
      <w:numFmt w:val="bullet"/>
      <w:lvlText w:val="•"/>
      <w:lvlJc w:val="left"/>
      <w:pPr>
        <w:ind w:left="4775" w:hanging="360"/>
      </w:pPr>
      <w:rPr>
        <w:rFonts w:hint="default"/>
        <w:lang w:val="en-gb" w:eastAsia="en-gb" w:bidi="en-gb"/>
      </w:rPr>
    </w:lvl>
    <w:lvl w:ilvl="5">
      <w:start w:val="0"/>
      <w:numFmt w:val="bullet"/>
      <w:lvlText w:val="•"/>
      <w:lvlJc w:val="left"/>
      <w:pPr>
        <w:ind w:left="5649" w:hanging="360"/>
      </w:pPr>
      <w:rPr>
        <w:rFonts w:hint="default"/>
        <w:lang w:val="en-gb" w:eastAsia="en-gb" w:bidi="en-gb"/>
      </w:rPr>
    </w:lvl>
    <w:lvl w:ilvl="6">
      <w:start w:val="0"/>
      <w:numFmt w:val="bullet"/>
      <w:lvlText w:val="•"/>
      <w:lvlJc w:val="left"/>
      <w:pPr>
        <w:ind w:left="6523" w:hanging="360"/>
      </w:pPr>
      <w:rPr>
        <w:rFonts w:hint="default"/>
        <w:lang w:val="en-gb" w:eastAsia="en-gb" w:bidi="en-gb"/>
      </w:rPr>
    </w:lvl>
    <w:lvl w:ilvl="7">
      <w:start w:val="0"/>
      <w:numFmt w:val="bullet"/>
      <w:lvlText w:val="•"/>
      <w:lvlJc w:val="left"/>
      <w:pPr>
        <w:ind w:left="7397" w:hanging="360"/>
      </w:pPr>
      <w:rPr>
        <w:rFonts w:hint="default"/>
        <w:lang w:val="en-gb" w:eastAsia="en-gb" w:bidi="en-gb"/>
      </w:rPr>
    </w:lvl>
    <w:lvl w:ilvl="8">
      <w:start w:val="0"/>
      <w:numFmt w:val="bullet"/>
      <w:lvlText w:val="•"/>
      <w:lvlJc w:val="left"/>
      <w:pPr>
        <w:ind w:left="8271" w:hanging="360"/>
      </w:pPr>
      <w:rPr>
        <w:rFonts w:hint="default"/>
        <w:lang w:val="en-gb" w:eastAsia="en-gb" w:bidi="en-gb"/>
      </w:rPr>
    </w:lvl>
  </w:abstractNum>
  <w:abstractNum w:abstractNumId="0">
    <w:multiLevelType w:val="hybridMultilevel"/>
    <w:lvl w:ilvl="0">
      <w:start w:val="0"/>
      <w:numFmt w:val="bullet"/>
      <w:lvlText w:val=""/>
      <w:lvlJc w:val="left"/>
      <w:pPr>
        <w:ind w:left="1278" w:hanging="360"/>
      </w:pPr>
      <w:rPr>
        <w:rFonts w:hint="default"/>
        <w:w w:val="100"/>
        <w:lang w:val="en-gb" w:eastAsia="en-gb" w:bidi="en-gb"/>
      </w:rPr>
    </w:lvl>
    <w:lvl w:ilvl="1">
      <w:start w:val="0"/>
      <w:numFmt w:val="bullet"/>
      <w:lvlText w:val="•"/>
      <w:lvlJc w:val="left"/>
      <w:pPr>
        <w:ind w:left="2153" w:hanging="360"/>
      </w:pPr>
      <w:rPr>
        <w:rFonts w:hint="default"/>
        <w:lang w:val="en-gb" w:eastAsia="en-gb" w:bidi="en-gb"/>
      </w:rPr>
    </w:lvl>
    <w:lvl w:ilvl="2">
      <w:start w:val="0"/>
      <w:numFmt w:val="bullet"/>
      <w:lvlText w:val="•"/>
      <w:lvlJc w:val="left"/>
      <w:pPr>
        <w:ind w:left="3027" w:hanging="360"/>
      </w:pPr>
      <w:rPr>
        <w:rFonts w:hint="default"/>
        <w:lang w:val="en-gb" w:eastAsia="en-gb" w:bidi="en-gb"/>
      </w:rPr>
    </w:lvl>
    <w:lvl w:ilvl="3">
      <w:start w:val="0"/>
      <w:numFmt w:val="bullet"/>
      <w:lvlText w:val="•"/>
      <w:lvlJc w:val="left"/>
      <w:pPr>
        <w:ind w:left="3901" w:hanging="360"/>
      </w:pPr>
      <w:rPr>
        <w:rFonts w:hint="default"/>
        <w:lang w:val="en-gb" w:eastAsia="en-gb" w:bidi="en-gb"/>
      </w:rPr>
    </w:lvl>
    <w:lvl w:ilvl="4">
      <w:start w:val="0"/>
      <w:numFmt w:val="bullet"/>
      <w:lvlText w:val="•"/>
      <w:lvlJc w:val="left"/>
      <w:pPr>
        <w:ind w:left="4775" w:hanging="360"/>
      </w:pPr>
      <w:rPr>
        <w:rFonts w:hint="default"/>
        <w:lang w:val="en-gb" w:eastAsia="en-gb" w:bidi="en-gb"/>
      </w:rPr>
    </w:lvl>
    <w:lvl w:ilvl="5">
      <w:start w:val="0"/>
      <w:numFmt w:val="bullet"/>
      <w:lvlText w:val="•"/>
      <w:lvlJc w:val="left"/>
      <w:pPr>
        <w:ind w:left="5649" w:hanging="360"/>
      </w:pPr>
      <w:rPr>
        <w:rFonts w:hint="default"/>
        <w:lang w:val="en-gb" w:eastAsia="en-gb" w:bidi="en-gb"/>
      </w:rPr>
    </w:lvl>
    <w:lvl w:ilvl="6">
      <w:start w:val="0"/>
      <w:numFmt w:val="bullet"/>
      <w:lvlText w:val="•"/>
      <w:lvlJc w:val="left"/>
      <w:pPr>
        <w:ind w:left="6523" w:hanging="360"/>
      </w:pPr>
      <w:rPr>
        <w:rFonts w:hint="default"/>
        <w:lang w:val="en-gb" w:eastAsia="en-gb" w:bidi="en-gb"/>
      </w:rPr>
    </w:lvl>
    <w:lvl w:ilvl="7">
      <w:start w:val="0"/>
      <w:numFmt w:val="bullet"/>
      <w:lvlText w:val="•"/>
      <w:lvlJc w:val="left"/>
      <w:pPr>
        <w:ind w:left="7397" w:hanging="360"/>
      </w:pPr>
      <w:rPr>
        <w:rFonts w:hint="default"/>
        <w:lang w:val="en-gb" w:eastAsia="en-gb" w:bidi="en-gb"/>
      </w:rPr>
    </w:lvl>
    <w:lvl w:ilvl="8">
      <w:start w:val="0"/>
      <w:numFmt w:val="bullet"/>
      <w:lvlText w:val="•"/>
      <w:lvlJc w:val="left"/>
      <w:pPr>
        <w:ind w:left="8271" w:hanging="360"/>
      </w:pPr>
      <w:rPr>
        <w:rFonts w:hint="default"/>
        <w:lang w:val="en-gb" w:eastAsia="en-gb" w:bidi="en-gb"/>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gb" w:eastAsia="en-gb" w:bidi="en-gb"/>
    </w:rPr>
  </w:style>
  <w:style w:styleId="BodyText" w:type="paragraph">
    <w:name w:val="Body Text"/>
    <w:basedOn w:val="Normal"/>
    <w:uiPriority w:val="1"/>
    <w:qFormat/>
    <w:pPr/>
    <w:rPr>
      <w:rFonts w:ascii="Times New Roman" w:hAnsi="Times New Roman" w:eastAsia="Times New Roman" w:cs="Times New Roman"/>
      <w:sz w:val="22"/>
      <w:szCs w:val="22"/>
      <w:lang w:val="en-gb" w:eastAsia="en-gb" w:bidi="en-gb"/>
    </w:rPr>
  </w:style>
  <w:style w:styleId="Heading1" w:type="paragraph">
    <w:name w:val="Heading 1"/>
    <w:basedOn w:val="Normal"/>
    <w:uiPriority w:val="1"/>
    <w:qFormat/>
    <w:pPr>
      <w:ind w:left="558"/>
      <w:outlineLvl w:val="1"/>
    </w:pPr>
    <w:rPr>
      <w:rFonts w:ascii="Times New Roman" w:hAnsi="Times New Roman" w:eastAsia="Times New Roman" w:cs="Times New Roman"/>
      <w:b/>
      <w:bCs/>
      <w:sz w:val="22"/>
      <w:szCs w:val="22"/>
      <w:lang w:val="en-gb" w:eastAsia="en-gb" w:bidi="en-gb"/>
    </w:rPr>
  </w:style>
  <w:style w:styleId="ListParagraph" w:type="paragraph">
    <w:name w:val="List Paragraph"/>
    <w:basedOn w:val="Normal"/>
    <w:uiPriority w:val="1"/>
    <w:qFormat/>
    <w:pPr>
      <w:ind w:left="1278" w:hanging="360"/>
    </w:pPr>
    <w:rPr>
      <w:rFonts w:ascii="Times New Roman" w:hAnsi="Times New Roman" w:eastAsia="Times New Roman" w:cs="Times New Roman"/>
      <w:lang w:val="en-gb" w:eastAsia="en-gb" w:bidi="en-gb"/>
    </w:rPr>
  </w:style>
  <w:style w:styleId="TableParagraph" w:type="paragraph">
    <w:name w:val="Table Paragraph"/>
    <w:basedOn w:val="Normal"/>
    <w:uiPriority w:val="1"/>
    <w:qFormat/>
    <w:pPr/>
    <w:rPr>
      <w:rFonts w:ascii="Times New Roman" w:hAnsi="Times New Roman" w:eastAsia="Times New Roman" w:cs="Times New Roman"/>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nbeecroft1@btinternet.com" TargetMode="External"/><Relationship Id="rId6" Type="http://schemas.openxmlformats.org/officeDocument/2006/relationships/hyperlink" Target="http://www.linkedin.com/in/nickbeecroft" TargetMode="External"/><Relationship Id="rId7" Type="http://schemas.openxmlformats.org/officeDocument/2006/relationships/header" Target="header1.xml"/><Relationship Id="rId8" Type="http://schemas.openxmlformats.org/officeDocument/2006/relationships/hyperlink" Target="http://www.crime.financial/" TargetMode="Externa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hyperlink" Target="mailto:nbeecroft1@btinternet.com" TargetMode="External"/><Relationship Id="rId2" Type="http://schemas.openxmlformats.org/officeDocument/2006/relationships/hyperlink" Target="http://www.linkedin.com/in/nickbeecrof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Beecni</dc:creator>
  <dcterms:created xsi:type="dcterms:W3CDTF">2019-10-18T16:01:09Z</dcterms:created>
  <dcterms:modified xsi:type="dcterms:W3CDTF">2019-10-18T16:01:09Z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2019-06-17T00:00:00Z</vt:filetime>
  </property>
  <property fmtid="{D5CDD505-2E9C-101B-9397-08002B2CF9AE}" pid="3" name="Creator">
    <vt:lpwstr>Microsoft® Word 2010</vt:lpwstr>
  </property>
  <property fmtid="{D5CDD505-2E9C-101B-9397-08002B2CF9AE}" pid="4" name="LastSaved">
    <vt:filetime>2019-10-18T00:00:00Z</vt:filetime>
  </property>
</Properties>
</file>